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right="849" w:firstLine="709"/>
        <w:jc w:val="right"/>
        <w:spacing w:before="8" w:after="0" w:line="232" w:lineRule="auto"/>
        <w:widowControl w:val="off"/>
        <w:rPr>
          <w:sz w:val="20"/>
          <w:szCs w:val="20"/>
        </w:rPr>
      </w:pPr>
      <w:r>
        <w:rPr>
          <w:sz w:val="20"/>
          <w:szCs w:val="20"/>
        </w:rPr>
        <w:t xml:space="preserve">Приложение к постановлению Администрации </w:t>
      </w:r>
      <w:r>
        <w:rPr>
          <w:sz w:val="20"/>
          <w:szCs w:val="20"/>
        </w:rPr>
      </w:r>
      <w:r>
        <w:rPr>
          <w:sz w:val="20"/>
          <w:szCs w:val="20"/>
        </w:rPr>
      </w:r>
    </w:p>
    <w:p>
      <w:pPr>
        <w:ind w:right="849" w:firstLine="709"/>
        <w:jc w:val="right"/>
        <w:spacing w:before="8" w:after="0" w:line="232" w:lineRule="auto"/>
        <w:widowControl w:val="off"/>
        <w:rPr>
          <w:sz w:val="20"/>
          <w:szCs w:val="20"/>
        </w:rPr>
      </w:pPr>
      <w:r>
        <w:rPr>
          <w:sz w:val="20"/>
          <w:szCs w:val="20"/>
        </w:rPr>
        <w:t xml:space="preserve">МО «Яблоновское городское поселение»</w:t>
      </w:r>
      <w:r>
        <w:rPr>
          <w:sz w:val="20"/>
          <w:szCs w:val="20"/>
        </w:rPr>
      </w:r>
      <w:r>
        <w:rPr>
          <w:sz w:val="20"/>
          <w:szCs w:val="20"/>
        </w:rPr>
      </w:r>
    </w:p>
    <w:p>
      <w:pPr>
        <w:ind w:right="849" w:firstLine="709"/>
        <w:jc w:val="right"/>
        <w:spacing w:before="8" w:after="0" w:line="232" w:lineRule="auto"/>
        <w:widowControl w:val="off"/>
        <w:rPr>
          <w:sz w:val="20"/>
          <w:szCs w:val="20"/>
        </w:rPr>
      </w:pPr>
      <w:r>
        <w:rPr>
          <w:sz w:val="20"/>
          <w:szCs w:val="20"/>
        </w:rPr>
        <w:t xml:space="preserve">№ 260 от «05» декабря 2025 г.</w:t>
      </w:r>
      <w:r>
        <w:rPr>
          <w:sz w:val="20"/>
          <w:szCs w:val="20"/>
        </w:rPr>
      </w:r>
      <w:r>
        <w:rPr>
          <w:sz w:val="20"/>
          <w:szCs w:val="20"/>
        </w:rPr>
      </w:r>
    </w:p>
    <w:p>
      <w:pPr>
        <w:ind w:right="849" w:firstLine="709"/>
        <w:jc w:val="right"/>
        <w:spacing w:before="8" w:after="0" w:line="232" w:lineRule="auto"/>
        <w:widowControl w:val="off"/>
        <w:rPr>
          <w:sz w:val="20"/>
          <w:szCs w:val="20"/>
        </w:rPr>
      </w:pPr>
      <w:r>
        <w:rPr>
          <w:sz w:val="20"/>
          <w:szCs w:val="20"/>
        </w:rPr>
      </w:r>
      <w:r>
        <w:rPr>
          <w:sz w:val="20"/>
          <w:szCs w:val="20"/>
        </w:rPr>
      </w:r>
      <w:r>
        <w:rPr>
          <w:sz w:val="20"/>
          <w:szCs w:val="20"/>
        </w:rPr>
      </w:r>
    </w:p>
    <w:p>
      <w:pPr>
        <w:ind w:right="849"/>
        <w:jc w:val="center"/>
        <w:spacing w:before="8" w:after="0" w:line="232" w:lineRule="auto"/>
        <w:widowControl w:val="off"/>
      </w:pPr>
      <w:r>
        <w:t xml:space="preserve">У</w:t>
      </w:r>
      <w:r>
        <w:t xml:space="preserve">словия </w:t>
      </w:r>
      <w:r>
        <w:t xml:space="preserve">Концессионного соглашения</w:t>
      </w:r>
      <w:r/>
    </w:p>
    <w:p>
      <w:pPr>
        <w:ind w:right="849"/>
        <w:jc w:val="center"/>
        <w:spacing w:before="8" w:after="0" w:line="232" w:lineRule="auto"/>
        <w:widowControl w:val="off"/>
      </w:pPr>
      <w:r/>
      <w:r/>
    </w:p>
    <w:p>
      <w:pPr>
        <w:numPr>
          <w:ilvl w:val="0"/>
          <w:numId w:val="1"/>
        </w:numPr>
        <w:ind w:right="849" w:firstLine="709"/>
        <w:jc w:val="both"/>
        <w:spacing w:before="8" w:after="0" w:line="232" w:lineRule="auto"/>
        <w:widowControl w:val="off"/>
        <w:rPr>
          <w:rFonts w:eastAsia="Times New Roman"/>
        </w:rPr>
      </w:pPr>
      <w:r>
        <w:rPr>
          <w:rFonts w:eastAsia="Times New Roman"/>
        </w:rPr>
        <w:t xml:space="preserve">Концессионер обязан реконструировать объект концессионного соглашения с соблюдением сроков его реконструкции согласно </w:t>
      </w:r>
      <w:r>
        <w:rPr>
          <w:rFonts w:eastAsia="Times New Roman"/>
          <w:b/>
          <w:bCs/>
        </w:rPr>
        <w:t xml:space="preserve">Приложению № 1 </w:t>
      </w:r>
      <w:r>
        <w:rPr>
          <w:rFonts w:eastAsia="Times New Roman"/>
          <w:bCs/>
        </w:rPr>
        <w:t xml:space="preserve">к </w:t>
      </w:r>
      <w:r>
        <w:rPr>
          <w:rFonts w:eastAsia="Times New Roman"/>
          <w:bCs/>
        </w:rPr>
        <w:t xml:space="preserve">условиям концессионного соглашения</w:t>
      </w:r>
      <w:r>
        <w:rPr>
          <w:rFonts w:eastAsia="Times New Roman"/>
          <w:bCs/>
        </w:rPr>
        <w:t xml:space="preserve">.</w:t>
      </w:r>
      <w:r>
        <w:rPr>
          <w:rFonts w:eastAsia="Times New Roman"/>
          <w:bCs/>
        </w:rPr>
        <w:t xml:space="preserve"> </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b/>
          <w:bCs/>
        </w:rPr>
      </w:pPr>
      <w:r>
        <w:rPr>
          <w:rFonts w:eastAsia="Times New Roman"/>
        </w:rPr>
        <w:t xml:space="preserve">Концессионер обязан </w:t>
      </w:r>
      <w:bookmarkStart w:id="0" w:name="_Hlk185521552"/>
      <w:r>
        <w:rPr>
          <w:rFonts w:eastAsia="Times New Roman"/>
        </w:rPr>
        <w:t xml:space="preserve">за свой счёт и (или) за счёт привлечённых средств в порядке, в сроки и на условиях, предусмотре</w:t>
      </w:r>
      <w:r>
        <w:rPr>
          <w:rFonts w:eastAsia="Times New Roman"/>
        </w:rPr>
        <w:t xml:space="preserve">нных концессионным соглашением выполнить мероприятия по реконструкции объекта соглашения (право собственности на который принадлежит концеденту), осуществлять в отношении объекта соглашения и иного имущества эксплуатацию и подключение объектов к системе хо</w:t>
      </w:r>
      <w:r>
        <w:rPr>
          <w:rFonts w:eastAsia="Times New Roman"/>
        </w:rPr>
        <w:t xml:space="preserve">лодного водоснабжения в соответствие с условиями концессионного соглашения и законодательства, а так же осуществлять деятельность по холодному водоснабжению потребителей п. Новый, Яблоновское городское поселение, Тахтамукайского района, Республики Адыгея, </w:t>
      </w:r>
      <w:bookmarkEnd w:id="0"/>
      <w:r>
        <w:rPr>
          <w:rFonts w:eastAsia="Times New Roman"/>
        </w:rPr>
        <w:t xml:space="preserve">РФ.</w:t>
      </w:r>
      <w:r>
        <w:rPr>
          <w:rFonts w:eastAsia="Times New Roman"/>
          <w:b/>
          <w:bCs/>
        </w:rPr>
      </w:r>
      <w:r>
        <w:rPr>
          <w:rFonts w:eastAsia="Times New Roman"/>
          <w:b/>
          <w:bCs/>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Срок действия концессионного соглаше</w:t>
      </w:r>
      <w:r>
        <w:rPr>
          <w:rFonts w:eastAsia="Times New Roman"/>
        </w:rPr>
        <w:t xml:space="preserve">ния – 49 лет (до 31 декабря 2074</w:t>
      </w:r>
      <w:r>
        <w:rPr>
          <w:rFonts w:eastAsia="Times New Roman"/>
        </w:rPr>
        <w:t xml:space="preserve"> года).</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Описание, в том числе технико-экономические показатели, объекта концессионного соглашения указаны в </w:t>
      </w:r>
      <w:r>
        <w:rPr>
          <w:rFonts w:eastAsia="Times New Roman"/>
          <w:b/>
          <w:bCs/>
        </w:rPr>
        <w:t xml:space="preserve">Приложение № 2</w:t>
      </w:r>
      <w:r>
        <w:rPr>
          <w:rFonts w:eastAsia="Times New Roman"/>
        </w:rPr>
        <w:t xml:space="preserve"> к </w:t>
      </w:r>
      <w:r>
        <w:rPr>
          <w:rFonts w:eastAsia="Times New Roman"/>
        </w:rPr>
        <w:t xml:space="preserve">условиям концессионного соглашения </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Срок передачи концессионеру объекта концессионного соглашения – не более 30 дней со дня подписания сторонами концессионного соглашения.</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Порядок предоставления концессионеру земельных участков, предназначенных для осуществления деятельности, предусмотренной концессионным соглашением - течение 60 (ш</w:t>
      </w:r>
      <w:r>
        <w:rPr>
          <w:rFonts w:eastAsia="Times New Roman"/>
        </w:rPr>
        <w:t xml:space="preserve">естидесяти) рабочих дней с даты заключения концессионного соглашения в порядке, предусмотренном действующим законодательством и концессионным соглашением, размер арендной платы (ставки арендной платы за пользование земельными участки – будет рассчитывается</w:t>
      </w:r>
      <w:r>
        <w:rPr>
          <w:rFonts w:eastAsia="Times New Roman"/>
        </w:rPr>
        <w:t xml:space="preserve"> в соответствии Постановлением Кабинета Министров Республики Адыгея от 2 апреля 2008 г. № 56 «О Порядке определения размера арендной платы за земельные участки, государственная собственность на которые не разграничена, предоставленных в аренду без торгов».</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Цель использования (эксплуатации) Объектов Соглашения – предоставление качественных услуг по водоснабжению и водоотведению потребителям до 31 декабря 207</w:t>
      </w:r>
      <w:r>
        <w:rPr>
          <w:rFonts w:eastAsia="Times New Roman"/>
        </w:rPr>
        <w:t xml:space="preserve">4</w:t>
      </w:r>
      <w:r>
        <w:rPr>
          <w:rFonts w:eastAsia="Times New Roman"/>
        </w:rPr>
        <w:t xml:space="preserve"> года. </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Концессионер обязан предоставить обеспе</w:t>
      </w:r>
      <w:r>
        <w:rPr>
          <w:rFonts w:eastAsia="Times New Roman"/>
        </w:rPr>
        <w:t xml:space="preserve">чение исполнения им своих обязательств, в целях обеспечения Концессионером достижения технико-экономических параметров объекта Соглашения, соблюдения Концессионером сроков, установленных настоящим Соглашением, целей использования объекта Соглашения в виде </w:t>
      </w:r>
      <w:r>
        <w:rPr>
          <w:rFonts w:eastAsia="Times New Roman"/>
        </w:rPr>
        <w:t xml:space="preserve">безотзывной банковской гарантии (далее – «Банковская гарантия»). Банковская гарантия должна быть непередаваемой. Предоставление обеспечения исполнения обязательств по Соглашению осуществляется непосредственно Концесс</w:t>
      </w:r>
      <w:r>
        <w:rPr>
          <w:rFonts w:eastAsia="Times New Roman"/>
        </w:rPr>
        <w:t xml:space="preserve">ионером. Предоставление рассматриваемого обеспечения иными лицами не допускается. Банковская гарантия предоставляется сроком на 1 (один) год, и Концессионер обязуется ежегодно возобновлять срок действия Банковской гарантии или предоставлять новую Банковску</w:t>
      </w:r>
      <w:r>
        <w:rPr>
          <w:rFonts w:eastAsia="Times New Roman"/>
        </w:rPr>
        <w:t xml:space="preserve">ю гарантию не позднее, чем за 30 (тридцать) календарных дней до истечения срока действия ранее выданной Банковской гарантии. При этом срок действия новой Банковской Гарантии не должен начинаться позднее момента истечения срока действия заменяемой Банковско</w:t>
      </w:r>
      <w:r>
        <w:rPr>
          <w:rFonts w:eastAsia="Times New Roman"/>
        </w:rPr>
        <w:t xml:space="preserve">й Гарантии. Сумма Банковской гарантии рассчитывается как отношение указанного в Концессионном соглашении предельного размера расходов Концессионера на реконструкцию объекта Соглашения на весь срок действия концессионного соглашения и количества календарных</w:t>
      </w:r>
      <w:r>
        <w:rPr>
          <w:rFonts w:eastAsia="Times New Roman"/>
        </w:rPr>
        <w:t xml:space="preserve"> месяцев срока действия концессионного соглашения, умноженного на количество месяцев действия Концессионного соглашения в календарном году (календарных годах), на который предоставляется Банковская гарантия. Размер банковской гарантии на один год определяе</w:t>
      </w:r>
      <w:r>
        <w:rPr>
          <w:rFonts w:eastAsia="Times New Roman"/>
        </w:rPr>
        <w:t xml:space="preserve">тся в размере 5 (пяти) % от предельного размера расходов Концессионера на реконструкцию объекта Соглашения на весь срок действия концессионного соглашения в текущих ценах, в соответствии с предложением о заключении концессионного соглашения Концессионера. </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Установить, что концессионная плата в рамках концессионного соглашения не предусмотрена.</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Установить порядок </w:t>
      </w:r>
      <w:r>
        <w:rPr>
          <w:rFonts w:eastAsia="Times New Roman"/>
        </w:rPr>
        <w:t xml:space="preserve">возмещения расходов концессионера в случае до</w:t>
      </w:r>
      <w:r>
        <w:rPr>
          <w:rFonts w:eastAsia="Times New Roman"/>
        </w:rPr>
        <w:t xml:space="preserve">срочного прекращения концессионного соглашения в отношении объектов централизованной системы холодного водоснабжения на территории п. Новый муниципального образования «Яблоновское городское поселение Тахтамукайского муниципального района Республики Адыгея»</w:t>
      </w:r>
      <w:r>
        <w:rPr>
          <w:rFonts w:eastAsia="Times New Roman"/>
        </w:rPr>
        <w:t xml:space="preserve"> в соответствии с </w:t>
      </w:r>
      <w:r>
        <w:rPr>
          <w:rFonts w:eastAsia="Times New Roman"/>
          <w:b/>
          <w:bCs/>
        </w:rPr>
        <w:t xml:space="preserve">Приложением № 3</w:t>
      </w:r>
      <w:r>
        <w:rPr>
          <w:rFonts w:eastAsia="Times New Roman"/>
        </w:rPr>
        <w:t xml:space="preserve"> к </w:t>
      </w:r>
      <w:r>
        <w:rPr>
          <w:rFonts w:eastAsia="Times New Roman"/>
        </w:rPr>
        <w:t xml:space="preserve">условиям концессионного соглашения </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Обязательство по подготовке территории, необходимой для реконструкции объекта концессионного соглашения и (или) для осуществления деятельности, предусмотренной концессионным соглашением возложить на Концессионера.</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2531" w:leader="none"/>
          <w:tab w:val="left" w:pos="9639" w:leader="none"/>
        </w:tabs>
        <w:rPr>
          <w:rFonts w:eastAsia="Times New Roman"/>
        </w:rPr>
      </w:pPr>
      <w:r>
        <w:rPr>
          <w:rFonts w:eastAsia="Times New Roman"/>
        </w:rPr>
        <w:t xml:space="preserve">Определить </w:t>
      </w:r>
      <w:r>
        <w:rPr>
          <w:rFonts w:eastAsia="Times New Roman"/>
        </w:rPr>
        <w:t xml:space="preserve">Объём необходимой валовой выручки на каждый год реализации соглашения,</w:t>
      </w:r>
      <w:r>
        <w:rPr>
          <w:rFonts w:eastAsia="Times New Roman"/>
        </w:rPr>
        <w:t xml:space="preserve"> </w:t>
      </w:r>
      <w:r>
        <w:rPr>
          <w:rFonts w:eastAsia="Times New Roman"/>
        </w:rPr>
        <w:t xml:space="preserve">получаемой Концессионером</w:t>
      </w:r>
      <w:r>
        <w:rPr>
          <w:rFonts w:eastAsia="Times New Roman"/>
        </w:rPr>
        <w:t xml:space="preserve">, в соответствии с </w:t>
      </w:r>
      <w:r>
        <w:rPr>
          <w:rFonts w:eastAsia="Times New Roman"/>
          <w:b/>
        </w:rPr>
        <w:t xml:space="preserve">Приложением № 4</w:t>
      </w:r>
      <w:r>
        <w:rPr>
          <w:rFonts w:eastAsia="Times New Roman"/>
        </w:rPr>
        <w:t xml:space="preserve"> к </w:t>
      </w:r>
      <w:r>
        <w:rPr>
          <w:rFonts w:eastAsia="Times New Roman"/>
        </w:rPr>
        <w:t xml:space="preserve">условиям концессионного соглашения </w:t>
      </w:r>
      <w:r>
        <w:rPr>
          <w:rFonts w:eastAsia="Times New Roman"/>
        </w:rPr>
      </w:r>
      <w:r>
        <w:rPr>
          <w:rFonts w:eastAsia="Times New Roman"/>
        </w:rPr>
      </w:r>
    </w:p>
    <w:p>
      <w:pPr>
        <w:numPr>
          <w:ilvl w:val="0"/>
          <w:numId w:val="1"/>
        </w:numPr>
        <w:ind w:right="849" w:firstLine="709"/>
        <w:jc w:val="both"/>
        <w:spacing w:before="8" w:after="0" w:line="232" w:lineRule="auto"/>
        <w:widowControl w:val="off"/>
        <w:tabs>
          <w:tab w:val="left" w:pos="9639" w:leader="none"/>
        </w:tabs>
        <w:rPr>
          <w:rFonts w:eastAsia="Times New Roman"/>
        </w:rPr>
      </w:pPr>
      <w:r>
        <w:rPr>
          <w:rFonts w:eastAsia="Times New Roman"/>
        </w:rPr>
        <w:t xml:space="preserve">Установить, что финансовое участие концедента при реализации концессионного соглашения не предусмотрено. </w:t>
      </w:r>
      <w:r>
        <w:rPr>
          <w:rFonts w:eastAsia="Times New Roman"/>
        </w:rPr>
      </w:r>
      <w:r>
        <w:rPr>
          <w:rFonts w:eastAsia="Times New Roman"/>
        </w:rPr>
      </w:r>
    </w:p>
    <w:p>
      <w:pPr>
        <w:ind w:right="849" w:firstLine="709"/>
        <w:jc w:val="both"/>
        <w:spacing w:before="8" w:after="0" w:line="232" w:lineRule="auto"/>
        <w:widowControl w:val="off"/>
        <w:tabs>
          <w:tab w:val="left" w:pos="9639" w:leader="none"/>
        </w:tabs>
        <w:rPr>
          <w:rFonts w:eastAsia="Times New Roman"/>
        </w:rPr>
      </w:pPr>
      <w:r>
        <w:rPr>
          <w:rFonts w:eastAsia="Times New Roman"/>
        </w:rPr>
        <w:t xml:space="preserve">1</w:t>
      </w:r>
      <w:r>
        <w:rPr>
          <w:rFonts w:eastAsia="Times New Roman"/>
        </w:rPr>
        <w:t xml:space="preserve">4</w:t>
      </w:r>
      <w:r>
        <w:rPr>
          <w:rFonts w:eastAsia="Times New Roman"/>
        </w:rPr>
        <w:t xml:space="preserve">. Установить значения долгосрочных параметров регулирования деятельности концессионера в соответствии с </w:t>
      </w:r>
      <w:r>
        <w:rPr>
          <w:rFonts w:eastAsia="Times New Roman"/>
          <w:b/>
        </w:rPr>
        <w:t xml:space="preserve">Приложением № </w:t>
      </w:r>
      <w:r>
        <w:rPr>
          <w:rFonts w:eastAsia="Times New Roman"/>
          <w:b/>
        </w:rPr>
        <w:t xml:space="preserve">5</w:t>
      </w:r>
      <w:r>
        <w:rPr>
          <w:rFonts w:eastAsia="Times New Roman"/>
        </w:rPr>
        <w:t xml:space="preserve"> к</w:t>
      </w:r>
      <w:r>
        <w:rPr>
          <w:rFonts w:eastAsia="Times New Roman"/>
        </w:rPr>
        <w:t xml:space="preserve"> условиям концессионного соглашения </w:t>
      </w:r>
      <w:r>
        <w:rPr>
          <w:rFonts w:eastAsia="Times New Roman"/>
        </w:rPr>
      </w:r>
      <w:r>
        <w:rPr>
          <w:rFonts w:eastAsia="Times New Roman"/>
        </w:rPr>
      </w:r>
    </w:p>
    <w:p>
      <w:pPr>
        <w:ind w:right="849" w:firstLine="709"/>
        <w:jc w:val="both"/>
        <w:spacing w:before="8" w:after="0" w:line="232" w:lineRule="auto"/>
        <w:widowControl w:val="off"/>
        <w:tabs>
          <w:tab w:val="left" w:pos="9639" w:leader="none"/>
        </w:tabs>
        <w:rPr>
          <w:rFonts w:eastAsia="Times New Roman"/>
        </w:rPr>
      </w:pPr>
      <w:r>
        <w:rPr>
          <w:rFonts w:eastAsia="Times New Roman"/>
        </w:rPr>
        <w:t xml:space="preserve">1</w:t>
      </w:r>
      <w:r>
        <w:rPr>
          <w:rFonts w:eastAsia="Times New Roman"/>
        </w:rPr>
        <w:t xml:space="preserve">5</w:t>
      </w:r>
      <w:r>
        <w:rPr>
          <w:rFonts w:eastAsia="Times New Roman"/>
        </w:rPr>
        <w:t xml:space="preserve">. Утвердить задание и основные мероприятия концессионного соглашения в соответствии с </w:t>
      </w:r>
      <w:r>
        <w:rPr>
          <w:rFonts w:eastAsia="Times New Roman"/>
          <w:b/>
          <w:bCs/>
        </w:rPr>
        <w:t xml:space="preserve">Приложением № </w:t>
      </w:r>
      <w:r>
        <w:rPr>
          <w:rFonts w:eastAsia="Times New Roman"/>
          <w:b/>
          <w:bCs/>
        </w:rPr>
        <w:t xml:space="preserve">6</w:t>
      </w:r>
      <w:r>
        <w:rPr>
          <w:rFonts w:eastAsia="Times New Roman"/>
        </w:rPr>
        <w:t xml:space="preserve"> к</w:t>
      </w:r>
      <w:r>
        <w:rPr>
          <w:rFonts w:eastAsia="Times New Roman"/>
        </w:rPr>
        <w:t xml:space="preserve"> условиям концессионного соглашения </w:t>
      </w:r>
      <w:r>
        <w:rPr>
          <w:rFonts w:eastAsia="Times New Roman"/>
        </w:rPr>
      </w:r>
      <w:r>
        <w:rPr>
          <w:rFonts w:eastAsia="Times New Roman"/>
        </w:rPr>
      </w:r>
    </w:p>
    <w:p>
      <w:pPr>
        <w:ind w:right="849" w:firstLine="709"/>
        <w:jc w:val="both"/>
        <w:spacing w:before="8" w:after="0" w:line="232" w:lineRule="auto"/>
        <w:widowControl w:val="off"/>
        <w:tabs>
          <w:tab w:val="left" w:pos="9639" w:leader="none"/>
        </w:tabs>
        <w:rPr>
          <w:rFonts w:eastAsia="Times New Roman"/>
        </w:rPr>
      </w:pPr>
      <w:r>
        <w:rPr>
          <w:rFonts w:eastAsia="Times New Roman"/>
        </w:rPr>
        <w:t xml:space="preserve">16</w:t>
      </w:r>
      <w:r>
        <w:rPr>
          <w:rFonts w:eastAsia="Times New Roman"/>
        </w:rPr>
        <w:t xml:space="preserve">. Утвердить предельный размер расходов на реконструкцию объекта концессионного соглашения в соответствии с </w:t>
      </w:r>
      <w:r>
        <w:rPr>
          <w:rFonts w:eastAsia="Times New Roman"/>
          <w:b/>
          <w:bCs/>
        </w:rPr>
        <w:t xml:space="preserve">Приложением № </w:t>
      </w:r>
      <w:r>
        <w:rPr>
          <w:rFonts w:eastAsia="Times New Roman"/>
          <w:b/>
          <w:bCs/>
        </w:rPr>
        <w:t xml:space="preserve">7</w:t>
      </w:r>
      <w:r>
        <w:rPr>
          <w:rFonts w:eastAsia="Times New Roman"/>
        </w:rPr>
        <w:t xml:space="preserve"> к </w:t>
      </w:r>
      <w:r>
        <w:rPr>
          <w:rFonts w:eastAsia="Times New Roman"/>
        </w:rPr>
        <w:t xml:space="preserve">условиям концессионного соглашения </w:t>
      </w:r>
      <w:r>
        <w:rPr>
          <w:rFonts w:eastAsia="Times New Roman"/>
        </w:rPr>
        <w:t xml:space="preserve"> </w:t>
      </w:r>
      <w:r>
        <w:rPr>
          <w:rFonts w:eastAsia="Times New Roman"/>
        </w:rPr>
      </w:r>
      <w:r>
        <w:rPr>
          <w:rFonts w:eastAsia="Times New Roman"/>
        </w:rPr>
      </w:r>
    </w:p>
    <w:p>
      <w:pPr>
        <w:ind w:right="849" w:firstLine="709"/>
        <w:jc w:val="both"/>
        <w:spacing w:before="8" w:after="0" w:line="232" w:lineRule="auto"/>
        <w:widowControl w:val="off"/>
        <w:tabs>
          <w:tab w:val="left" w:pos="9639" w:leader="none"/>
        </w:tabs>
        <w:rPr>
          <w:rFonts w:eastAsia="Times New Roman"/>
        </w:rPr>
      </w:pPr>
      <w:r>
        <w:rPr>
          <w:rFonts w:eastAsia="Times New Roman"/>
        </w:rPr>
        <w:t xml:space="preserve">17</w:t>
      </w:r>
      <w:r>
        <w:rPr>
          <w:rFonts w:eastAsia="Times New Roman"/>
        </w:rPr>
        <w:t xml:space="preserve">. Установить плановые значения показателей надежности, качества, энергетической эффективности объектов концессионного соглашения в соответствии с </w:t>
      </w:r>
      <w:r>
        <w:rPr>
          <w:rFonts w:eastAsia="Times New Roman"/>
          <w:b/>
          <w:bCs/>
        </w:rPr>
        <w:t xml:space="preserve">Приложением № </w:t>
      </w:r>
      <w:r>
        <w:rPr>
          <w:rFonts w:eastAsia="Times New Roman"/>
          <w:b/>
          <w:bCs/>
        </w:rPr>
        <w:t xml:space="preserve">8</w:t>
      </w:r>
      <w:r>
        <w:rPr>
          <w:rFonts w:eastAsia="Times New Roman"/>
          <w:b/>
          <w:bCs/>
        </w:rPr>
        <w:t xml:space="preserve"> </w:t>
      </w:r>
      <w:r>
        <w:rPr>
          <w:rFonts w:eastAsia="Times New Roman"/>
        </w:rPr>
        <w:t xml:space="preserve">к</w:t>
      </w:r>
      <w:r>
        <w:rPr>
          <w:rFonts w:eastAsia="Times New Roman"/>
        </w:rPr>
        <w:t xml:space="preserve"> условиям концессионного соглашения </w:t>
      </w:r>
      <w:r>
        <w:rPr>
          <w:rFonts w:eastAsia="Times New Roman"/>
        </w:rPr>
      </w:r>
      <w:r>
        <w:rPr>
          <w:rFonts w:eastAsia="Times New Roman"/>
        </w:rPr>
      </w:r>
    </w:p>
    <w:p>
      <w:pPr>
        <w:ind w:right="849" w:firstLine="709"/>
        <w:jc w:val="both"/>
        <w:spacing w:before="8" w:after="0" w:line="232" w:lineRule="auto"/>
        <w:widowControl w:val="off"/>
        <w:tabs>
          <w:tab w:val="left" w:pos="9639" w:leader="none"/>
        </w:tabs>
        <w:rPr>
          <w:rFonts w:eastAsia="Times New Roman"/>
        </w:rPr>
      </w:pPr>
      <w:r>
        <w:rPr>
          <w:rFonts w:eastAsia="Times New Roman"/>
        </w:rPr>
        <w:t xml:space="preserve">18</w:t>
      </w:r>
      <w:r>
        <w:rPr>
          <w:rFonts w:eastAsia="Times New Roman"/>
        </w:rPr>
        <w:t xml:space="preserve">. Утвердить </w:t>
      </w:r>
      <w:r>
        <w:rPr>
          <w:rFonts w:eastAsia="Times New Roman"/>
        </w:rPr>
        <w:t xml:space="preserve">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не возмещенных ему</w:t>
      </w:r>
      <w:r>
        <w:rPr>
          <w:rFonts w:eastAsia="Times New Roman"/>
        </w:rPr>
        <w:t xml:space="preserve"> </w:t>
      </w:r>
      <w:r>
        <w:rPr>
          <w:rFonts w:eastAsia="Times New Roman"/>
        </w:rPr>
        <w:t xml:space="preserve">на момент окон</w:t>
      </w:r>
      <w:r>
        <w:rPr>
          <w:rFonts w:eastAsia="Times New Roman"/>
        </w:rPr>
        <w:t xml:space="preserve">чания срока действия концессионного соглашения в отношении объектов централизованной системы холодного водоснабжения на территории п. Новый муниципального образования «Яблоновское городское поселение Тахтамукайского муниципального района Республики Адыгея»</w:t>
      </w:r>
      <w:r>
        <w:rPr>
          <w:rFonts w:eastAsia="Times New Roman"/>
        </w:rPr>
        <w:t xml:space="preserve">, в соответствии с </w:t>
      </w:r>
      <w:r>
        <w:rPr>
          <w:rFonts w:eastAsia="Times New Roman"/>
          <w:b/>
          <w:bCs/>
        </w:rPr>
        <w:t xml:space="preserve">Приложением № </w:t>
      </w:r>
      <w:r>
        <w:rPr>
          <w:rFonts w:eastAsia="Times New Roman"/>
          <w:b/>
          <w:bCs/>
        </w:rPr>
        <w:t xml:space="preserve">9</w:t>
      </w:r>
      <w:r>
        <w:rPr>
          <w:rFonts w:eastAsia="Times New Roman"/>
        </w:rPr>
        <w:t xml:space="preserve"> к </w:t>
      </w:r>
      <w:r>
        <w:rPr>
          <w:rFonts w:eastAsia="Times New Roman"/>
        </w:rPr>
        <w:t xml:space="preserve">условиям концессионного соглашения </w:t>
      </w:r>
      <w:r>
        <w:rPr>
          <w:rFonts w:eastAsia="Times New Roman"/>
        </w:rPr>
      </w:r>
      <w:r>
        <w:rPr>
          <w:rFonts w:eastAsia="Times New Roman"/>
        </w:rPr>
      </w:r>
    </w:p>
    <w:p>
      <w:pPr>
        <w:ind w:right="848" w:firstLine="709"/>
        <w:jc w:val="both"/>
        <w:spacing w:after="0" w:line="240" w:lineRule="auto"/>
        <w:widowControl w:val="off"/>
        <w:rPr>
          <w:rFonts w:eastAsia="Times New Roman"/>
        </w:rPr>
      </w:pPr>
      <w:r>
        <w:rPr>
          <w:rFonts w:eastAsia="Times New Roman"/>
        </w:rPr>
        <w:t xml:space="preserve">19</w:t>
      </w:r>
      <w:r>
        <w:rPr>
          <w:rFonts w:eastAsia="Times New Roman"/>
        </w:rPr>
        <w:t xml:space="preserve">. Установить, что незарегистрированное недвижимое имущество в составе объектов концессионного соглашения отсутствует. </w:t>
      </w:r>
      <w:r>
        <w:rPr>
          <w:rFonts w:eastAsia="Times New Roman"/>
        </w:rPr>
      </w:r>
      <w:r>
        <w:rPr>
          <w:rFonts w:eastAsia="Times New Roman"/>
        </w:rPr>
      </w:r>
    </w:p>
    <w:p>
      <w:pPr>
        <w:ind w:right="848" w:firstLine="709"/>
        <w:jc w:val="both"/>
        <w:spacing w:after="0" w:line="240" w:lineRule="auto"/>
        <w:widowControl w:val="off"/>
        <w:rPr>
          <w:rFonts w:eastAsia="Times New Roman"/>
        </w:rPr>
      </w:pPr>
      <w:r>
        <w:rPr>
          <w:rFonts w:eastAsia="Times New Roman"/>
        </w:rPr>
        <w:t xml:space="preserve">20</w:t>
      </w:r>
      <w:r>
        <w:rPr>
          <w:rFonts w:eastAsia="Times New Roman"/>
        </w:rPr>
        <w:t xml:space="preserve">. Установить, что сроки реализации инвестиционных обязательств Концессионера, являющегося регулируемой организацией, осущ</w:t>
      </w:r>
      <w:r>
        <w:rPr>
          <w:rFonts w:eastAsia="Times New Roman"/>
        </w:rPr>
        <w:t xml:space="preserve">ествляющей деятельность в сфере тепло-, водоснабжения, водоотведения, могут быть перенесены в случае принятия Правительством Российской Федерации соответствующего решения, предусмотренного Федеральным законом от 30 декабря 2012 г. № 291-ФЗ «О внесении изме</w:t>
      </w:r>
      <w:r>
        <w:rPr>
          <w:rFonts w:eastAsia="Times New Roman"/>
        </w:rPr>
        <w:t xml:space="preserve">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изменением экономической конъюнктуры.</w:t>
      </w:r>
      <w:r>
        <w:rPr>
          <w:rFonts w:eastAsia="Times New Roman"/>
        </w:rPr>
      </w:r>
      <w:r>
        <w:rPr>
          <w:rFonts w:eastAsia="Times New Roman"/>
        </w:rPr>
      </w:r>
    </w:p>
    <w:p>
      <w:pPr>
        <w:ind w:right="849" w:firstLine="709"/>
        <w:jc w:val="both"/>
        <w:spacing w:before="8" w:after="0" w:line="232" w:lineRule="auto"/>
        <w:widowControl w:val="off"/>
        <w:tabs>
          <w:tab w:val="left" w:pos="9639" w:leader="none"/>
        </w:tabs>
        <w:rPr>
          <w:rFonts w:eastAsia="Times New Roman"/>
        </w:rPr>
      </w:pPr>
      <w:r>
        <w:rPr>
          <w:rFonts w:eastAsia="Times New Roman"/>
        </w:rPr>
        <w:t xml:space="preserve">2</w:t>
      </w:r>
      <w:r>
        <w:rPr>
          <w:rFonts w:eastAsia="Times New Roman"/>
        </w:rPr>
        <w:t xml:space="preserve">1</w:t>
      </w:r>
      <w:r>
        <w:rPr>
          <w:rFonts w:eastAsia="Times New Roman"/>
        </w:rPr>
        <w:t xml:space="preserve">. </w:t>
      </w:r>
      <w:r>
        <w:rPr>
          <w:rFonts w:eastAsia="Times New Roman"/>
        </w:rPr>
        <w:t xml:space="preserve">Республика Адыгея</w:t>
      </w:r>
      <w:r>
        <w:rPr>
          <w:rFonts w:eastAsia="Times New Roman"/>
        </w:rPr>
        <w:t xml:space="preserve"> (</w:t>
      </w:r>
      <w:r>
        <w:rPr>
          <w:rFonts w:eastAsia="Times New Roman"/>
        </w:rPr>
        <w:t xml:space="preserve">далее Субъект)</w:t>
      </w:r>
      <w:r>
        <w:rPr>
          <w:rFonts w:eastAsia="Times New Roman"/>
        </w:rPr>
        <w:t xml:space="preserve">, выступающая третьей стороной в концессионном соглашении, несет следующие обязанности по концессионному соглашению:</w:t>
      </w:r>
      <w:r>
        <w:rPr>
          <w:rFonts w:eastAsia="Times New Roman"/>
        </w:rPr>
      </w:r>
      <w:r>
        <w:rPr>
          <w:rFonts w:eastAsia="Times New Roman"/>
        </w:rPr>
      </w:r>
    </w:p>
    <w:p>
      <w:pPr>
        <w:pStyle w:val="823"/>
        <w:ind w:left="0" w:right="851" w:firstLine="709"/>
        <w:jc w:val="both"/>
        <w:spacing w:before="0" w:after="0"/>
        <w:rPr>
          <w:rFonts w:ascii="Times New Roman" w:hAnsi="Times New Roman" w:eastAsia="Times New Roman" w:cs="Times New Roman"/>
          <w:color w:val="000000"/>
          <w:lang w:eastAsia="ru-RU"/>
        </w:rPr>
      </w:pPr>
      <w:r>
        <w:rPr>
          <w:rFonts w:ascii="Times New Roman" w:hAnsi="Times New Roman" w:eastAsia="Times New Roman" w:cs="Times New Roman"/>
          <w:color w:val="000000"/>
          <w:sz w:val="24"/>
          <w:szCs w:val="20"/>
          <w:lang w:eastAsia="ru-RU"/>
        </w:rPr>
        <w:t xml:space="preserve">1</w:t>
      </w:r>
      <w:r>
        <w:rPr>
          <w:rFonts w:ascii="Times New Roman" w:hAnsi="Times New Roman" w:eastAsia="Times New Roman" w:cs="Times New Roman"/>
          <w:color w:val="000000"/>
          <w:lang w:eastAsia="ru-RU"/>
        </w:rPr>
        <w:t xml:space="preserve">)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Соглашением;</w:t>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p>
      <w:pPr>
        <w:contextualSpacing/>
        <w:ind w:left="0" w:right="851" w:firstLine="709"/>
        <w:jc w:val="both"/>
        <w:spacing w:after="0" w:line="240" w:lineRule="auto"/>
        <w:rPr>
          <w:rFonts w:eastAsia="Times New Roman"/>
          <w:color w:val="000000"/>
          <w:lang w:eastAsia="ru-RU"/>
        </w:rPr>
        <w:outlineLvl w:val="2"/>
      </w:pPr>
      <w:r>
        <w:rPr>
          <w:rFonts w:eastAsia="Times New Roman"/>
          <w:color w:val="000000"/>
          <w:lang w:eastAsia="ru-RU"/>
        </w:rPr>
        <w:t xml:space="preserve">2) утверждение инвестиционных программ Концессионера в соответствии с установленными Соглашением заданием и мероприятиями, плановыми показателями деятельности концессионера, предельным уровнем расходов на реконструкцию Объекта Соглашения; </w:t>
      </w:r>
      <w:r>
        <w:rPr>
          <w:rFonts w:eastAsia="Times New Roman"/>
          <w:color w:val="000000"/>
          <w:lang w:eastAsia="ru-RU"/>
        </w:rPr>
      </w:r>
      <w:r>
        <w:rPr>
          <w:rFonts w:eastAsia="Times New Roman"/>
          <w:color w:val="000000"/>
          <w:lang w:eastAsia="ru-RU"/>
        </w:rPr>
      </w:r>
    </w:p>
    <w:p>
      <w:pPr>
        <w:contextualSpacing/>
        <w:ind w:left="0" w:right="851" w:firstLine="709"/>
        <w:jc w:val="both"/>
        <w:spacing w:after="0" w:line="240" w:lineRule="auto"/>
        <w:rPr>
          <w:rFonts w:eastAsia="Times New Roman"/>
          <w:color w:val="000000"/>
          <w:highlight w:val="white"/>
        </w:rPr>
        <w:outlineLvl w:val="2"/>
      </w:pPr>
      <w:r>
        <w:rPr>
          <w:rFonts w:eastAsia="Times New Roman"/>
          <w:color w:val="000000"/>
          <w:lang w:eastAsia="ru-RU"/>
        </w:rPr>
        <w:t xml:space="preserve">3) возмещение недополученных доходов, экономически обосно</w:t>
      </w:r>
      <w:r>
        <w:rPr>
          <w:rFonts w:eastAsia="Times New Roman"/>
          <w:color w:val="000000"/>
          <w:lang w:eastAsia="ru-RU"/>
        </w:rPr>
        <w:t xml:space="preserve">ванных расходов Концессионера, подлежащих возмещению за счет средств республиканского бюджета Республики Адыгея, в том числе в случае принятия Управлением государственного регулирования цен и тарифов Республики Адыгея решения об изменении долгосрочных тари</w:t>
      </w:r>
      <w:r>
        <w:rPr>
          <w:rFonts w:eastAsia="Times New Roman"/>
          <w:color w:val="000000"/>
          <w:lang w:eastAsia="ru-RU"/>
        </w:rPr>
        <w:t xml:space="preserve">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Соглашением в соответствии с основами ценообразования в сфере теплоснабжения, водоснабжения, во</w:t>
      </w:r>
      <w:r>
        <w:rPr>
          <w:rFonts w:eastAsia="Times New Roman"/>
          <w:color w:val="000000"/>
          <w:lang w:eastAsia="ru-RU"/>
        </w:rPr>
        <w:t xml:space="preserve">доотведения, и (или) долгосрочных параметров регулирования деятельности Концессионера, установленных Управлением государственного регулирования цен и тарифов Республики Адыгея, и (или) решения об установлении тарифов Концессионера на основе долгосрочных па</w:t>
      </w:r>
      <w:r>
        <w:rPr>
          <w:rFonts w:eastAsia="Times New Roman"/>
          <w:color w:val="000000"/>
          <w:lang w:eastAsia="ru-RU"/>
        </w:rPr>
        <w:t xml:space="preserve">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Управлением государственного регулирования цен и тарифов Республики Адыгея</w:t>
      </w:r>
      <w:r>
        <w:rPr>
          <w:rFonts w:eastAsia="Times New Roman"/>
          <w:color w:val="000000"/>
          <w:lang w:eastAsia="ru-RU"/>
        </w:rPr>
        <w:t xml:space="preserve">в </w:t>
      </w:r>
      <w:r>
        <w:rPr>
          <w:rFonts w:eastAsia="Times New Roman"/>
          <w:color w:val="000000"/>
          <w:highlight w:val="white"/>
          <w:lang w:eastAsia="ru-RU"/>
        </w:rPr>
        <w:t xml:space="preserve">в соответствии с Федеральным законом «О концессионных соглашениях»</w:t>
      </w:r>
      <w:r>
        <w:rPr>
          <w:rFonts w:eastAsia="Times New Roman"/>
          <w:color w:val="000000"/>
          <w:highlight w:val="white"/>
          <w:lang w:eastAsia="ru-RU"/>
        </w:rPr>
        <w:t xml:space="preserve">. Согласование долго</w:t>
      </w:r>
      <w:r>
        <w:rPr>
          <w:rFonts w:eastAsia="Times New Roman"/>
          <w:color w:val="000000"/>
          <w:highlight w:val="white"/>
          <w:lang w:eastAsia="ru-RU"/>
        </w:rPr>
        <w:t xml:space="preserve">срочных параметров регулирования деятельности концессионера осуществляется в порядке, установленном Постановлением Правительства Российской Федерации от 13 мая 2013 года № 406 «О государственном регулировании тарифов в сфере водоснабжения и водоотведения» </w:t>
      </w:r>
      <w:r>
        <w:rPr>
          <w:rFonts w:eastAsia="Times New Roman"/>
          <w:color w:val="000000"/>
          <w:highlight w:val="white"/>
          <w:lang w:eastAsia="ru-RU"/>
        </w:rPr>
        <w:t xml:space="preserve">в соответствии с Федеральным законом «О концессионных соглашениях»</w:t>
      </w:r>
      <w:r>
        <w:rPr>
          <w:rFonts w:eastAsia="Times New Roman"/>
          <w:color w:val="000000"/>
          <w:highlight w:val="white"/>
          <w:lang w:eastAsia="ru-RU"/>
        </w:rPr>
        <w:t xml:space="preserve">;</w:t>
      </w:r>
      <w:bookmarkStart w:id="1" w:name="sub_4044"/>
      <w:r>
        <w:rPr>
          <w:rFonts w:eastAsia="Times New Roman"/>
          <w:color w:val="000000"/>
          <w:highlight w:val="white"/>
          <w:lang w:eastAsia="ru-RU"/>
        </w:rPr>
      </w:r>
      <w:r>
        <w:rPr>
          <w:rFonts w:eastAsia="Times New Roman"/>
          <w:color w:val="000000"/>
          <w:highlight w:val="white"/>
        </w:rPr>
      </w:r>
    </w:p>
    <w:p>
      <w:pPr>
        <w:contextualSpacing/>
        <w:ind w:left="0" w:right="851" w:firstLine="709"/>
        <w:jc w:val="both"/>
        <w:spacing w:after="0" w:line="240" w:lineRule="auto"/>
        <w:rPr>
          <w:rFonts w:eastAsia="Times New Roman"/>
          <w:color w:val="000000"/>
          <w:lang w:eastAsia="ru-RU"/>
        </w:rPr>
        <w:outlineLvl w:val="2"/>
      </w:pPr>
      <w:r>
        <w:rPr>
          <w:rFonts w:eastAsia="Times New Roman"/>
          <w:color w:val="000000"/>
          <w:lang w:eastAsia="ru-RU"/>
        </w:rPr>
        <w:t xml:space="preserve">4) иные обязанности, устанавливаемые нормативными правовыми актами Субъекта.</w:t>
      </w:r>
      <w:bookmarkEnd w:id="1"/>
      <w:r>
        <w:rPr>
          <w:rFonts w:eastAsia="Times New Roman"/>
          <w:color w:val="000000"/>
          <w:lang w:eastAsia="ru-RU"/>
        </w:rPr>
      </w:r>
      <w:r>
        <w:rPr>
          <w:rFonts w:eastAsia="Times New Roman"/>
          <w:color w:val="000000"/>
          <w:lang w:eastAsia="ru-RU"/>
        </w:rPr>
      </w:r>
    </w:p>
    <w:p>
      <w:pPr>
        <w:contextualSpacing/>
        <w:ind w:left="0" w:right="851" w:firstLine="709"/>
        <w:jc w:val="both"/>
        <w:spacing w:after="0" w:line="240" w:lineRule="auto"/>
        <w:widowControl w:val="off"/>
        <w:rPr>
          <w:rFonts w:eastAsia="Times New Roman"/>
          <w:color w:val="000000"/>
          <w:lang w:eastAsia="ru-RU"/>
        </w:rPr>
        <w:outlineLvl w:val="2"/>
      </w:pPr>
      <w:r>
        <w:rPr>
          <w:rFonts w:eastAsia="Times New Roman"/>
          <w:color w:val="000000"/>
          <w:lang w:eastAsia="ru-RU"/>
        </w:rPr>
        <w:t xml:space="preserve">2. Субъект в рамках </w:t>
      </w:r>
      <w:r>
        <w:rPr>
          <w:rFonts w:eastAsia="Times New Roman"/>
          <w:color w:val="000000"/>
          <w:lang w:eastAsia="ru-RU"/>
        </w:rPr>
        <w:t xml:space="preserve">Соглашения:</w:t>
      </w:r>
      <w:r>
        <w:rPr>
          <w:rFonts w:eastAsia="Times New Roman"/>
          <w:color w:val="000000"/>
          <w:lang w:eastAsia="ru-RU"/>
        </w:rPr>
      </w:r>
      <w:r>
        <w:rPr>
          <w:rFonts w:eastAsia="Times New Roman"/>
          <w:color w:val="000000"/>
          <w:lang w:eastAsia="ru-RU"/>
        </w:rPr>
      </w:r>
    </w:p>
    <w:p>
      <w:pPr>
        <w:ind w:left="0" w:right="851" w:firstLine="709"/>
        <w:jc w:val="both"/>
        <w:spacing w:after="0" w:line="240" w:lineRule="auto"/>
        <w:rPr>
          <w:rFonts w:eastAsia="Times New Roman"/>
          <w:color w:val="000000"/>
          <w:lang w:eastAsia="ru-RU"/>
        </w:rPr>
      </w:pPr>
      <w:r>
        <w:rPr>
          <w:rFonts w:eastAsia="Times New Roman"/>
          <w:color w:val="000000"/>
          <w:lang w:eastAsia="ru-RU"/>
        </w:rPr>
        <w:t xml:space="preserve">1) имеет право предоставлять Концессионеру государственные гарантии Субъекта;</w:t>
      </w:r>
      <w:r>
        <w:rPr>
          <w:rFonts w:eastAsia="Times New Roman"/>
          <w:color w:val="000000"/>
          <w:lang w:eastAsia="ru-RU"/>
        </w:rPr>
      </w:r>
      <w:r>
        <w:rPr>
          <w:rFonts w:eastAsia="Times New Roman"/>
          <w:color w:val="000000"/>
          <w:lang w:eastAsia="ru-RU"/>
        </w:rPr>
      </w:r>
    </w:p>
    <w:p>
      <w:pPr>
        <w:ind w:left="0" w:right="851" w:firstLine="709"/>
        <w:jc w:val="both"/>
        <w:spacing w:after="0" w:line="240" w:lineRule="auto"/>
        <w:rPr>
          <w:rFonts w:eastAsia="Times New Roman"/>
          <w:color w:val="000000"/>
          <w:lang w:eastAsia="ru-RU"/>
        </w:rPr>
      </w:pPr>
      <w:r>
        <w:rPr>
          <w:rFonts w:eastAsia="Times New Roman"/>
          <w:color w:val="000000"/>
          <w:lang w:eastAsia="ru-RU"/>
        </w:rPr>
        <w:t xml:space="preserve">2) имеет иные права, устанавливаемые нормативными правовыми актами Субъекта.</w:t>
      </w:r>
      <w:r>
        <w:rPr>
          <w:rFonts w:eastAsia="Times New Roman"/>
          <w:color w:val="000000"/>
          <w:lang w:eastAsia="ru-RU"/>
        </w:rPr>
      </w:r>
      <w:r>
        <w:rPr>
          <w:rFonts w:eastAsia="Times New Roman"/>
          <w:color w:val="000000"/>
          <w:lang w:eastAsia="ru-RU"/>
        </w:rPr>
      </w:r>
    </w:p>
    <w:p>
      <w:pPr>
        <w:ind w:right="849" w:firstLine="709"/>
        <w:jc w:val="both"/>
        <w:spacing w:before="8" w:after="0" w:line="232" w:lineRule="auto"/>
        <w:widowControl w:val="off"/>
        <w:tabs>
          <w:tab w:val="left" w:pos="9639" w:leader="none"/>
        </w:tabs>
      </w:pPr>
      <w:r/>
      <w:r/>
    </w:p>
    <w:p>
      <w:pPr>
        <w:jc w:val="both"/>
      </w:pPr>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0" w:firstLine="851"/>
      </w:pPr>
      <w:rPr>
        <w:rFonts w:hint="default" w:ascii="Times New Roman" w:hAnsi="Times New Roman" w:eastAsia="Times New Roman" w:cs="Times New Roman"/>
        <w:b w:val="0"/>
        <w:bCs w:val="0"/>
        <w:i w:val="0"/>
        <w:iCs w:val="0"/>
        <w:spacing w:val="0"/>
        <w:sz w:val="29"/>
        <w:szCs w:val="29"/>
        <w:lang w:val="ru-RU" w:eastAsia="en-US" w:bidi="ar-SA"/>
      </w:rPr>
    </w:lvl>
    <w:lvl w:ilvl="1">
      <w:start w:val="1"/>
      <w:numFmt w:val="decimal"/>
      <w:isLgl w:val="false"/>
      <w:suff w:val="tab"/>
      <w:lvlText w:val="%1.%2."/>
      <w:lvlJc w:val="left"/>
      <w:pPr>
        <w:ind w:left="284" w:firstLine="851"/>
      </w:pPr>
      <w:rPr>
        <w:rFonts w:hint="default" w:ascii="Times New Roman" w:hAnsi="Times New Roman" w:eastAsia="Times New Roman" w:cs="Times New Roman"/>
        <w:b w:val="0"/>
        <w:bCs w:val="0"/>
        <w:i w:val="0"/>
        <w:iCs w:val="0"/>
        <w:spacing w:val="0"/>
        <w:sz w:val="29"/>
        <w:szCs w:val="29"/>
        <w:lang w:val="ru-RU" w:eastAsia="en-US" w:bidi="ar-SA"/>
      </w:rPr>
    </w:lvl>
    <w:lvl w:ilvl="2">
      <w:start w:val="1"/>
      <w:numFmt w:val="bullet"/>
      <w:isLgl w:val="false"/>
      <w:suff w:val="tab"/>
      <w:lvlText w:val="•"/>
      <w:lvlJc w:val="left"/>
      <w:pPr>
        <w:ind w:left="568" w:firstLine="851"/>
      </w:pPr>
      <w:rPr>
        <w:rFonts w:hint="default"/>
        <w:lang w:val="ru-RU" w:eastAsia="en-US" w:bidi="ar-SA"/>
      </w:rPr>
    </w:lvl>
    <w:lvl w:ilvl="3">
      <w:start w:val="1"/>
      <w:numFmt w:val="bullet"/>
      <w:isLgl w:val="false"/>
      <w:suff w:val="tab"/>
      <w:lvlText w:val="•"/>
      <w:lvlJc w:val="left"/>
      <w:pPr>
        <w:ind w:left="852" w:firstLine="851"/>
      </w:pPr>
      <w:rPr>
        <w:rFonts w:hint="default"/>
        <w:lang w:val="ru-RU" w:eastAsia="en-US" w:bidi="ar-SA"/>
      </w:rPr>
    </w:lvl>
    <w:lvl w:ilvl="4">
      <w:start w:val="1"/>
      <w:numFmt w:val="bullet"/>
      <w:isLgl w:val="false"/>
      <w:suff w:val="tab"/>
      <w:lvlText w:val="•"/>
      <w:lvlJc w:val="left"/>
      <w:pPr>
        <w:ind w:left="1136" w:firstLine="851"/>
      </w:pPr>
      <w:rPr>
        <w:rFonts w:hint="default"/>
        <w:lang w:val="ru-RU" w:eastAsia="en-US" w:bidi="ar-SA"/>
      </w:rPr>
    </w:lvl>
    <w:lvl w:ilvl="5">
      <w:start w:val="1"/>
      <w:numFmt w:val="bullet"/>
      <w:isLgl w:val="false"/>
      <w:suff w:val="tab"/>
      <w:lvlText w:val="•"/>
      <w:lvlJc w:val="left"/>
      <w:pPr>
        <w:ind w:left="1420" w:firstLine="851"/>
      </w:pPr>
      <w:rPr>
        <w:rFonts w:hint="default"/>
        <w:lang w:val="ru-RU" w:eastAsia="en-US" w:bidi="ar-SA"/>
      </w:rPr>
    </w:lvl>
    <w:lvl w:ilvl="6">
      <w:start w:val="1"/>
      <w:numFmt w:val="bullet"/>
      <w:isLgl w:val="false"/>
      <w:suff w:val="tab"/>
      <w:lvlText w:val="•"/>
      <w:lvlJc w:val="left"/>
      <w:pPr>
        <w:ind w:left="1704" w:firstLine="851"/>
      </w:pPr>
      <w:rPr>
        <w:rFonts w:hint="default"/>
        <w:lang w:val="ru-RU" w:eastAsia="en-US" w:bidi="ar-SA"/>
      </w:rPr>
    </w:lvl>
    <w:lvl w:ilvl="7">
      <w:start w:val="1"/>
      <w:numFmt w:val="bullet"/>
      <w:isLgl w:val="false"/>
      <w:suff w:val="tab"/>
      <w:lvlText w:val="•"/>
      <w:lvlJc w:val="left"/>
      <w:pPr>
        <w:ind w:left="1988" w:firstLine="851"/>
      </w:pPr>
      <w:rPr>
        <w:rFonts w:hint="default"/>
        <w:lang w:val="ru-RU" w:eastAsia="en-US" w:bidi="ar-SA"/>
      </w:rPr>
    </w:lvl>
    <w:lvl w:ilvl="8">
      <w:start w:val="1"/>
      <w:numFmt w:val="bullet"/>
      <w:isLgl w:val="false"/>
      <w:suff w:val="tab"/>
      <w:lvlText w:val="•"/>
      <w:lvlJc w:val="left"/>
      <w:pPr>
        <w:ind w:left="2272" w:firstLine="851"/>
      </w:pPr>
      <w:rPr>
        <w:rFonts w:hint="default"/>
        <w:lang w:val="ru-RU" w:eastAsia="en-US" w:bidi="ar-SA"/>
      </w:rPr>
    </w:lvl>
  </w:abstractNum>
  <w:num w:numId="1">
    <w:abstractNumId w:val="0"/>
    <w:lvlOverride w:ilvl="0">
      <w:lvl w:ilvl="0">
        <w:start w:val="1"/>
        <w:numFmt w:val="decimal"/>
        <w:isLgl w:val="false"/>
        <w:suff w:val="space"/>
        <w:lvlText w:val="%1."/>
        <w:lvlJc w:val="left"/>
        <w:pPr>
          <w:ind w:left="0" w:firstLine="0"/>
        </w:pPr>
        <w:rPr>
          <w:rFonts w:hint="default" w:ascii="Times New Roman" w:hAnsi="Times New Roman" w:eastAsia="Times New Roman" w:cs="Times New Roman"/>
          <w:b w:val="0"/>
          <w:bCs w:val="0"/>
          <w:i w:val="0"/>
          <w:iCs w:val="0"/>
          <w:spacing w:val="0"/>
          <w:sz w:val="29"/>
          <w:szCs w:val="29"/>
        </w:rPr>
      </w:lvl>
    </w:lvlOverride>
    <w:lvlOverride w:ilvl="1">
      <w:lvl w:ilvl="1">
        <w:start w:val="1"/>
        <w:numFmt w:val="decimal"/>
        <w:isLgl w:val="false"/>
        <w:suff w:val="space"/>
        <w:lvlText w:val="%1.%2."/>
        <w:lvlJc w:val="left"/>
        <w:pPr>
          <w:ind w:left="-283" w:firstLine="851"/>
        </w:pPr>
        <w:rPr>
          <w:rFonts w:hint="default" w:ascii="Times New Roman" w:hAnsi="Times New Roman" w:eastAsia="Times New Roman" w:cs="Times New Roman"/>
          <w:b w:val="0"/>
          <w:bCs w:val="0"/>
          <w:i w:val="0"/>
          <w:iCs w:val="0"/>
          <w:spacing w:val="0"/>
          <w:sz w:val="29"/>
          <w:szCs w:val="29"/>
        </w:rPr>
      </w:lvl>
    </w:lvlOverride>
    <w:lvlOverride w:ilvl="2">
      <w:lvl w:ilvl="2">
        <w:start w:val="1"/>
        <w:numFmt w:val="bullet"/>
        <w:isLgl w:val="false"/>
        <w:suff w:val="tab"/>
        <w:lvlText w:val="•"/>
        <w:lvlJc w:val="left"/>
        <w:pPr>
          <w:ind w:left="568" w:firstLine="851"/>
        </w:pPr>
        <w:rPr>
          <w:rFonts w:hint="default"/>
        </w:rPr>
      </w:lvl>
    </w:lvlOverride>
    <w:lvlOverride w:ilvl="3">
      <w:lvl w:ilvl="3">
        <w:start w:val="1"/>
        <w:numFmt w:val="bullet"/>
        <w:isLgl w:val="false"/>
        <w:suff w:val="tab"/>
        <w:lvlText w:val="•"/>
        <w:lvlJc w:val="left"/>
        <w:pPr>
          <w:ind w:left="852" w:firstLine="851"/>
        </w:pPr>
        <w:rPr>
          <w:rFonts w:hint="default"/>
        </w:rPr>
      </w:lvl>
    </w:lvlOverride>
    <w:lvlOverride w:ilvl="4">
      <w:lvl w:ilvl="4">
        <w:start w:val="1"/>
        <w:numFmt w:val="bullet"/>
        <w:isLgl w:val="false"/>
        <w:suff w:val="tab"/>
        <w:lvlText w:val="•"/>
        <w:lvlJc w:val="left"/>
        <w:pPr>
          <w:ind w:left="1136" w:firstLine="851"/>
        </w:pPr>
        <w:rPr>
          <w:rFonts w:hint="default"/>
        </w:rPr>
      </w:lvl>
    </w:lvlOverride>
    <w:lvlOverride w:ilvl="5">
      <w:lvl w:ilvl="5">
        <w:start w:val="1"/>
        <w:numFmt w:val="bullet"/>
        <w:isLgl w:val="false"/>
        <w:suff w:val="tab"/>
        <w:lvlText w:val="•"/>
        <w:lvlJc w:val="left"/>
        <w:pPr>
          <w:ind w:left="1420" w:firstLine="851"/>
        </w:pPr>
        <w:rPr>
          <w:rFonts w:hint="default"/>
        </w:rPr>
      </w:lvl>
    </w:lvlOverride>
    <w:lvlOverride w:ilvl="6">
      <w:lvl w:ilvl="6">
        <w:start w:val="1"/>
        <w:numFmt w:val="bullet"/>
        <w:isLgl w:val="false"/>
        <w:suff w:val="tab"/>
        <w:lvlText w:val="•"/>
        <w:lvlJc w:val="left"/>
        <w:pPr>
          <w:ind w:left="1704" w:firstLine="851"/>
        </w:pPr>
        <w:rPr>
          <w:rFonts w:hint="default"/>
        </w:rPr>
      </w:lvl>
    </w:lvlOverride>
    <w:lvlOverride w:ilvl="7">
      <w:lvl w:ilvl="7">
        <w:start w:val="1"/>
        <w:numFmt w:val="bullet"/>
        <w:isLgl w:val="false"/>
        <w:suff w:val="tab"/>
        <w:lvlText w:val="•"/>
        <w:lvlJc w:val="left"/>
        <w:pPr>
          <w:ind w:left="1988" w:firstLine="851"/>
        </w:pPr>
        <w:rPr>
          <w:rFonts w:hint="default"/>
        </w:rPr>
      </w:lvl>
    </w:lvlOverride>
    <w:lvlOverride w:ilvl="8">
      <w:lvl w:ilvl="8">
        <w:start w:val="1"/>
        <w:numFmt w:val="bullet"/>
        <w:isLgl w:val="false"/>
        <w:suff w:val="tab"/>
        <w:lvlText w:val="•"/>
        <w:lvlJc w:val="left"/>
        <w:pPr>
          <w:ind w:left="2272" w:firstLine="851"/>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cs="Times New Roman" w:eastAsiaTheme="minorHAnsi"/>
        <w:sz w:val="28"/>
        <w:szCs w:val="28"/>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56">
    <w:name w:val="Heading 1 Char"/>
    <w:basedOn w:val="830"/>
    <w:link w:val="821"/>
    <w:uiPriority w:val="9"/>
    <w:rPr>
      <w:rFonts w:ascii="Arial" w:hAnsi="Arial" w:eastAsia="Arial" w:cs="Arial"/>
      <w:sz w:val="40"/>
      <w:szCs w:val="40"/>
    </w:rPr>
  </w:style>
  <w:style w:type="character" w:styleId="657">
    <w:name w:val="Heading 2 Char"/>
    <w:basedOn w:val="830"/>
    <w:link w:val="822"/>
    <w:uiPriority w:val="9"/>
    <w:rPr>
      <w:rFonts w:ascii="Arial" w:hAnsi="Arial" w:eastAsia="Arial" w:cs="Arial"/>
      <w:sz w:val="34"/>
    </w:rPr>
  </w:style>
  <w:style w:type="character" w:styleId="658">
    <w:name w:val="Heading 3 Char"/>
    <w:basedOn w:val="830"/>
    <w:link w:val="823"/>
    <w:uiPriority w:val="9"/>
    <w:rPr>
      <w:rFonts w:ascii="Arial" w:hAnsi="Arial" w:eastAsia="Arial" w:cs="Arial"/>
      <w:sz w:val="30"/>
      <w:szCs w:val="30"/>
    </w:rPr>
  </w:style>
  <w:style w:type="character" w:styleId="659">
    <w:name w:val="Heading 4 Char"/>
    <w:basedOn w:val="830"/>
    <w:link w:val="824"/>
    <w:uiPriority w:val="9"/>
    <w:rPr>
      <w:rFonts w:ascii="Arial" w:hAnsi="Arial" w:eastAsia="Arial" w:cs="Arial"/>
      <w:b/>
      <w:bCs/>
      <w:sz w:val="26"/>
      <w:szCs w:val="26"/>
    </w:rPr>
  </w:style>
  <w:style w:type="character" w:styleId="660">
    <w:name w:val="Heading 5 Char"/>
    <w:basedOn w:val="830"/>
    <w:link w:val="825"/>
    <w:uiPriority w:val="9"/>
    <w:rPr>
      <w:rFonts w:ascii="Arial" w:hAnsi="Arial" w:eastAsia="Arial" w:cs="Arial"/>
      <w:b/>
      <w:bCs/>
      <w:sz w:val="24"/>
      <w:szCs w:val="24"/>
    </w:rPr>
  </w:style>
  <w:style w:type="character" w:styleId="661">
    <w:name w:val="Heading 6 Char"/>
    <w:basedOn w:val="830"/>
    <w:link w:val="826"/>
    <w:uiPriority w:val="9"/>
    <w:rPr>
      <w:rFonts w:ascii="Arial" w:hAnsi="Arial" w:eastAsia="Arial" w:cs="Arial"/>
      <w:b/>
      <w:bCs/>
      <w:sz w:val="22"/>
      <w:szCs w:val="22"/>
    </w:rPr>
  </w:style>
  <w:style w:type="character" w:styleId="662">
    <w:name w:val="Heading 7 Char"/>
    <w:basedOn w:val="830"/>
    <w:link w:val="827"/>
    <w:uiPriority w:val="9"/>
    <w:rPr>
      <w:rFonts w:ascii="Arial" w:hAnsi="Arial" w:eastAsia="Arial" w:cs="Arial"/>
      <w:b/>
      <w:bCs/>
      <w:i/>
      <w:iCs/>
      <w:sz w:val="22"/>
      <w:szCs w:val="22"/>
    </w:rPr>
  </w:style>
  <w:style w:type="character" w:styleId="663">
    <w:name w:val="Heading 8 Char"/>
    <w:basedOn w:val="830"/>
    <w:link w:val="828"/>
    <w:uiPriority w:val="9"/>
    <w:rPr>
      <w:rFonts w:ascii="Arial" w:hAnsi="Arial" w:eastAsia="Arial" w:cs="Arial"/>
      <w:i/>
      <w:iCs/>
      <w:sz w:val="22"/>
      <w:szCs w:val="22"/>
    </w:rPr>
  </w:style>
  <w:style w:type="character" w:styleId="664">
    <w:name w:val="Heading 9 Char"/>
    <w:basedOn w:val="830"/>
    <w:link w:val="829"/>
    <w:uiPriority w:val="9"/>
    <w:rPr>
      <w:rFonts w:ascii="Arial" w:hAnsi="Arial" w:eastAsia="Arial" w:cs="Arial"/>
      <w:i/>
      <w:iCs/>
      <w:sz w:val="21"/>
      <w:szCs w:val="21"/>
    </w:rPr>
  </w:style>
  <w:style w:type="paragraph" w:styleId="665">
    <w:name w:val="No Spacing"/>
    <w:uiPriority w:val="1"/>
    <w:qFormat/>
    <w:pPr>
      <w:spacing w:before="0" w:after="0" w:line="240" w:lineRule="auto"/>
    </w:pPr>
  </w:style>
  <w:style w:type="character" w:styleId="666">
    <w:name w:val="Title Char"/>
    <w:basedOn w:val="830"/>
    <w:link w:val="842"/>
    <w:uiPriority w:val="10"/>
    <w:rPr>
      <w:sz w:val="48"/>
      <w:szCs w:val="48"/>
    </w:rPr>
  </w:style>
  <w:style w:type="character" w:styleId="667">
    <w:name w:val="Subtitle Char"/>
    <w:basedOn w:val="830"/>
    <w:link w:val="844"/>
    <w:uiPriority w:val="11"/>
    <w:rPr>
      <w:sz w:val="24"/>
      <w:szCs w:val="24"/>
    </w:rPr>
  </w:style>
  <w:style w:type="character" w:styleId="668">
    <w:name w:val="Quote Char"/>
    <w:link w:val="846"/>
    <w:uiPriority w:val="29"/>
    <w:rPr>
      <w:i/>
    </w:rPr>
  </w:style>
  <w:style w:type="character" w:styleId="669">
    <w:name w:val="Intense Quote Char"/>
    <w:link w:val="850"/>
    <w:uiPriority w:val="30"/>
    <w:rPr>
      <w:i/>
    </w:rPr>
  </w:style>
  <w:style w:type="paragraph" w:styleId="670">
    <w:name w:val="Header"/>
    <w:basedOn w:val="820"/>
    <w:link w:val="671"/>
    <w:uiPriority w:val="99"/>
    <w:unhideWhenUsed/>
    <w:pPr>
      <w:spacing w:after="0" w:line="240" w:lineRule="auto"/>
      <w:tabs>
        <w:tab w:val="center" w:pos="7143" w:leader="none"/>
        <w:tab w:val="right" w:pos="14287" w:leader="none"/>
      </w:tabs>
    </w:pPr>
  </w:style>
  <w:style w:type="character" w:styleId="671">
    <w:name w:val="Header Char"/>
    <w:basedOn w:val="830"/>
    <w:link w:val="670"/>
    <w:uiPriority w:val="99"/>
  </w:style>
  <w:style w:type="paragraph" w:styleId="672">
    <w:name w:val="Footer"/>
    <w:basedOn w:val="820"/>
    <w:link w:val="675"/>
    <w:uiPriority w:val="99"/>
    <w:unhideWhenUsed/>
    <w:pPr>
      <w:spacing w:after="0" w:line="240" w:lineRule="auto"/>
      <w:tabs>
        <w:tab w:val="center" w:pos="7143" w:leader="none"/>
        <w:tab w:val="right" w:pos="14287" w:leader="none"/>
      </w:tabs>
    </w:pPr>
  </w:style>
  <w:style w:type="character" w:styleId="673">
    <w:name w:val="Footer Char"/>
    <w:basedOn w:val="830"/>
    <w:link w:val="672"/>
    <w:uiPriority w:val="99"/>
  </w:style>
  <w:style w:type="paragraph" w:styleId="674">
    <w:name w:val="Caption"/>
    <w:basedOn w:val="820"/>
    <w:next w:val="820"/>
    <w:uiPriority w:val="35"/>
    <w:semiHidden/>
    <w:unhideWhenUsed/>
    <w:qFormat/>
    <w:pPr>
      <w:spacing w:line="276" w:lineRule="auto"/>
    </w:pPr>
    <w:rPr>
      <w:b/>
      <w:bCs/>
      <w:color w:val="4f81bd" w:themeColor="accent1"/>
      <w:sz w:val="18"/>
      <w:szCs w:val="18"/>
    </w:rPr>
  </w:style>
  <w:style w:type="character" w:styleId="675">
    <w:name w:val="Caption Char"/>
    <w:basedOn w:val="674"/>
    <w:link w:val="672"/>
    <w:uiPriority w:val="99"/>
  </w:style>
  <w:style w:type="table" w:styleId="676">
    <w:name w:val="Table Grid"/>
    <w:basedOn w:val="83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77">
    <w:name w:val="Table Grid Light"/>
    <w:basedOn w:val="83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78">
    <w:name w:val="Plain Table 1"/>
    <w:basedOn w:val="83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9">
    <w:name w:val="Plain Table 2"/>
    <w:basedOn w:val="83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80">
    <w:name w:val="Plain Table 3"/>
    <w:basedOn w:val="8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81">
    <w:name w:val="Plain Table 4"/>
    <w:basedOn w:val="8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82">
    <w:name w:val="Plain Table 5"/>
    <w:basedOn w:val="8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83">
    <w:name w:val="Grid Table 1 Light"/>
    <w:basedOn w:val="83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84">
    <w:name w:val="Grid Table 1 Light - Accent 1"/>
    <w:basedOn w:val="83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85">
    <w:name w:val="Grid Table 1 Light - Accent 2"/>
    <w:basedOn w:val="83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86">
    <w:name w:val="Grid Table 1 Light - Accent 3"/>
    <w:basedOn w:val="83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87">
    <w:name w:val="Grid Table 1 Light - Accent 4"/>
    <w:basedOn w:val="83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88">
    <w:name w:val="Grid Table 1 Light - Accent 5"/>
    <w:basedOn w:val="83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89">
    <w:name w:val="Grid Table 1 Light - Accent 6"/>
    <w:basedOn w:val="83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90">
    <w:name w:val="Grid Table 2"/>
    <w:basedOn w:val="83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91">
    <w:name w:val="Grid Table 2 - Accent 1"/>
    <w:basedOn w:val="83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92">
    <w:name w:val="Grid Table 2 - Accent 2"/>
    <w:basedOn w:val="83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93">
    <w:name w:val="Grid Table 2 - Accent 3"/>
    <w:basedOn w:val="83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94">
    <w:name w:val="Grid Table 2 - Accent 4"/>
    <w:basedOn w:val="83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95">
    <w:name w:val="Grid Table 2 - Accent 5"/>
    <w:basedOn w:val="83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96">
    <w:name w:val="Grid Table 2 - Accent 6"/>
    <w:basedOn w:val="83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7">
    <w:name w:val="Grid Table 3"/>
    <w:basedOn w:val="83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8">
    <w:name w:val="Grid Table 3 - Accent 1"/>
    <w:basedOn w:val="83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9">
    <w:name w:val="Grid Table 3 - Accent 2"/>
    <w:basedOn w:val="83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0">
    <w:name w:val="Grid Table 3 - Accent 3"/>
    <w:basedOn w:val="83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1">
    <w:name w:val="Grid Table 3 - Accent 4"/>
    <w:basedOn w:val="83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2">
    <w:name w:val="Grid Table 3 - Accent 5"/>
    <w:basedOn w:val="83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3">
    <w:name w:val="Grid Table 3 - Accent 6"/>
    <w:basedOn w:val="83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4">
    <w:name w:val="Grid Table 4"/>
    <w:basedOn w:val="83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05">
    <w:name w:val="Grid Table 4 - Accent 1"/>
    <w:basedOn w:val="83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06">
    <w:name w:val="Grid Table 4 - Accent 2"/>
    <w:basedOn w:val="83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07">
    <w:name w:val="Grid Table 4 - Accent 3"/>
    <w:basedOn w:val="83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08">
    <w:name w:val="Grid Table 4 - Accent 4"/>
    <w:basedOn w:val="83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09">
    <w:name w:val="Grid Table 4 - Accent 5"/>
    <w:basedOn w:val="83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10">
    <w:name w:val="Grid Table 4 - Accent 6"/>
    <w:basedOn w:val="83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11">
    <w:name w:val="Grid Table 5 Dark"/>
    <w:basedOn w:val="8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12">
    <w:name w:val="Grid Table 5 Dark- Accent 1"/>
    <w:basedOn w:val="8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713">
    <w:name w:val="Grid Table 5 Dark - Accent 2"/>
    <w:basedOn w:val="8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14">
    <w:name w:val="Grid Table 5 Dark - Accent 3"/>
    <w:basedOn w:val="8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15">
    <w:name w:val="Grid Table 5 Dark- Accent 4"/>
    <w:basedOn w:val="8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16">
    <w:name w:val="Grid Table 5 Dark - Accent 5"/>
    <w:basedOn w:val="8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717">
    <w:name w:val="Grid Table 5 Dark - Accent 6"/>
    <w:basedOn w:val="8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18">
    <w:name w:val="Grid Table 6 Colorful"/>
    <w:basedOn w:val="83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9">
    <w:name w:val="Grid Table 6 Colorful - Accent 1"/>
    <w:basedOn w:val="83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720">
    <w:name w:val="Grid Table 6 Colorful - Accent 2"/>
    <w:basedOn w:val="83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21">
    <w:name w:val="Grid Table 6 Colorful - Accent 3"/>
    <w:basedOn w:val="83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22">
    <w:name w:val="Grid Table 6 Colorful - Accent 4"/>
    <w:basedOn w:val="83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23">
    <w:name w:val="Grid Table 6 Colorful - Accent 5"/>
    <w:basedOn w:val="83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724">
    <w:name w:val="Grid Table 6 Colorful - Accent 6"/>
    <w:basedOn w:val="83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725">
    <w:name w:val="Grid Table 7 Colorful"/>
    <w:basedOn w:val="83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26">
    <w:name w:val="Grid Table 7 Colorful - Accent 1"/>
    <w:basedOn w:val="83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27">
    <w:name w:val="Grid Table 7 Colorful - Accent 2"/>
    <w:basedOn w:val="83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28">
    <w:name w:val="Grid Table 7 Colorful - Accent 3"/>
    <w:basedOn w:val="83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29">
    <w:name w:val="Grid Table 7 Colorful - Accent 4"/>
    <w:basedOn w:val="83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30">
    <w:name w:val="Grid Table 7 Colorful - Accent 5"/>
    <w:basedOn w:val="83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31">
    <w:name w:val="Grid Table 7 Colorful - Accent 6"/>
    <w:basedOn w:val="83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32">
    <w:name w:val="List Table 1 Light"/>
    <w:basedOn w:val="83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33">
    <w:name w:val="List Table 1 Light - Accent 1"/>
    <w:basedOn w:val="831"/>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34">
    <w:name w:val="List Table 1 Light - Accent 2"/>
    <w:basedOn w:val="83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35">
    <w:name w:val="List Table 1 Light - Accent 3"/>
    <w:basedOn w:val="83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36">
    <w:name w:val="List Table 1 Light - Accent 4"/>
    <w:basedOn w:val="83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37">
    <w:name w:val="List Table 1 Light - Accent 5"/>
    <w:basedOn w:val="831"/>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38">
    <w:name w:val="List Table 1 Light - Accent 6"/>
    <w:basedOn w:val="83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39">
    <w:name w:val="List Table 2"/>
    <w:basedOn w:val="83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40">
    <w:name w:val="List Table 2 - Accent 1"/>
    <w:basedOn w:val="83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41">
    <w:name w:val="List Table 2 - Accent 2"/>
    <w:basedOn w:val="83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42">
    <w:name w:val="List Table 2 - Accent 3"/>
    <w:basedOn w:val="83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43">
    <w:name w:val="List Table 2 - Accent 4"/>
    <w:basedOn w:val="83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44">
    <w:name w:val="List Table 2 - Accent 5"/>
    <w:basedOn w:val="83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45">
    <w:name w:val="List Table 2 - Accent 6"/>
    <w:basedOn w:val="83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46">
    <w:name w:val="List Table 3"/>
    <w:basedOn w:val="83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47">
    <w:name w:val="List Table 3 - Accent 1"/>
    <w:basedOn w:val="83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748">
    <w:name w:val="List Table 3 - Accent 2"/>
    <w:basedOn w:val="83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49">
    <w:name w:val="List Table 3 - Accent 3"/>
    <w:basedOn w:val="83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50">
    <w:name w:val="List Table 3 - Accent 4"/>
    <w:basedOn w:val="83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51">
    <w:name w:val="List Table 3 - Accent 5"/>
    <w:basedOn w:val="83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752">
    <w:name w:val="List Table 3 - Accent 6"/>
    <w:basedOn w:val="83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753">
    <w:name w:val="List Table 4"/>
    <w:basedOn w:val="83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54">
    <w:name w:val="List Table 4 - Accent 1"/>
    <w:basedOn w:val="83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755">
    <w:name w:val="List Table 4 - Accent 2"/>
    <w:basedOn w:val="83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756">
    <w:name w:val="List Table 4 - Accent 3"/>
    <w:basedOn w:val="83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757">
    <w:name w:val="List Table 4 - Accent 4"/>
    <w:basedOn w:val="83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758">
    <w:name w:val="List Table 4 - Accent 5"/>
    <w:basedOn w:val="83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759">
    <w:name w:val="List Table 4 - Accent 6"/>
    <w:basedOn w:val="83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760">
    <w:name w:val="List Table 5 Dark"/>
    <w:basedOn w:val="83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1">
    <w:name w:val="List Table 5 Dark - Accent 1"/>
    <w:basedOn w:val="83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2">
    <w:name w:val="List Table 5 Dark - Accent 2"/>
    <w:basedOn w:val="83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3">
    <w:name w:val="List Table 5 Dark - Accent 3"/>
    <w:basedOn w:val="83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4">
    <w:name w:val="List Table 5 Dark - Accent 4"/>
    <w:basedOn w:val="83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5">
    <w:name w:val="List Table 5 Dark - Accent 5"/>
    <w:basedOn w:val="83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6">
    <w:name w:val="List Table 5 Dark - Accent 6"/>
    <w:basedOn w:val="83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67">
    <w:name w:val="List Table 6 Colorful"/>
    <w:basedOn w:val="83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68">
    <w:name w:val="List Table 6 Colorful - Accent 1"/>
    <w:basedOn w:val="83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769">
    <w:name w:val="List Table 6 Colorful - Accent 2"/>
    <w:basedOn w:val="83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70">
    <w:name w:val="List Table 6 Colorful - Accent 3"/>
    <w:basedOn w:val="83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71">
    <w:name w:val="List Table 6 Colorful - Accent 4"/>
    <w:basedOn w:val="83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72">
    <w:name w:val="List Table 6 Colorful - Accent 5"/>
    <w:basedOn w:val="83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773">
    <w:name w:val="List Table 6 Colorful - Accent 6"/>
    <w:basedOn w:val="83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74">
    <w:name w:val="List Table 7 Colorful"/>
    <w:basedOn w:val="83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75">
    <w:name w:val="List Table 7 Colorful - Accent 1"/>
    <w:basedOn w:val="83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776">
    <w:name w:val="List Table 7 Colorful - Accent 2"/>
    <w:basedOn w:val="83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77">
    <w:name w:val="List Table 7 Colorful - Accent 3"/>
    <w:basedOn w:val="83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78">
    <w:name w:val="List Table 7 Colorful - Accent 4"/>
    <w:basedOn w:val="83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79">
    <w:name w:val="List Table 7 Colorful - Accent 5"/>
    <w:basedOn w:val="83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780">
    <w:name w:val="List Table 7 Colorful - Accent 6"/>
    <w:basedOn w:val="83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81">
    <w:name w:val="Lined - Accent"/>
    <w:basedOn w:val="8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82">
    <w:name w:val="Lined - Accent 1"/>
    <w:basedOn w:val="8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783">
    <w:name w:val="Lined - Accent 2"/>
    <w:basedOn w:val="8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84">
    <w:name w:val="Lined - Accent 3"/>
    <w:basedOn w:val="8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85">
    <w:name w:val="Lined - Accent 4"/>
    <w:basedOn w:val="8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786">
    <w:name w:val="Lined - Accent 5"/>
    <w:basedOn w:val="8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787">
    <w:name w:val="Lined - Accent 6"/>
    <w:basedOn w:val="8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788">
    <w:name w:val="Bordered &amp; Lined - Accent"/>
    <w:basedOn w:val="83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89">
    <w:name w:val="Bordered &amp; Lined - Accent 1"/>
    <w:basedOn w:val="83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790">
    <w:name w:val="Bordered &amp; Lined - Accent 2"/>
    <w:basedOn w:val="83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91">
    <w:name w:val="Bordered &amp; Lined - Accent 3"/>
    <w:basedOn w:val="83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92">
    <w:name w:val="Bordered &amp; Lined - Accent 4"/>
    <w:basedOn w:val="83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793">
    <w:name w:val="Bordered &amp; Lined - Accent 5"/>
    <w:basedOn w:val="83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794">
    <w:name w:val="Bordered &amp; Lined - Accent 6"/>
    <w:basedOn w:val="83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795">
    <w:name w:val="Bordered"/>
    <w:basedOn w:val="83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96">
    <w:name w:val="Bordered - Accent 1"/>
    <w:basedOn w:val="83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97">
    <w:name w:val="Bordered - Accent 2"/>
    <w:basedOn w:val="83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98">
    <w:name w:val="Bordered - Accent 3"/>
    <w:basedOn w:val="83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99">
    <w:name w:val="Bordered - Accent 4"/>
    <w:basedOn w:val="83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00">
    <w:name w:val="Bordered - Accent 5"/>
    <w:basedOn w:val="83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01">
    <w:name w:val="Bordered - Accent 6"/>
    <w:basedOn w:val="83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02">
    <w:name w:val="Hyperlink"/>
    <w:uiPriority w:val="99"/>
    <w:unhideWhenUsed/>
    <w:rPr>
      <w:color w:val="0000ff" w:themeColor="hyperlink"/>
      <w:u w:val="single"/>
    </w:rPr>
  </w:style>
  <w:style w:type="paragraph" w:styleId="803">
    <w:name w:val="footnote text"/>
    <w:basedOn w:val="820"/>
    <w:link w:val="804"/>
    <w:uiPriority w:val="99"/>
    <w:semiHidden/>
    <w:unhideWhenUsed/>
    <w:pPr>
      <w:spacing w:after="40" w:line="240" w:lineRule="auto"/>
    </w:pPr>
    <w:rPr>
      <w:sz w:val="18"/>
    </w:rPr>
  </w:style>
  <w:style w:type="character" w:styleId="804">
    <w:name w:val="Footnote Text Char"/>
    <w:link w:val="803"/>
    <w:uiPriority w:val="99"/>
    <w:rPr>
      <w:sz w:val="18"/>
    </w:rPr>
  </w:style>
  <w:style w:type="character" w:styleId="805">
    <w:name w:val="footnote reference"/>
    <w:basedOn w:val="830"/>
    <w:uiPriority w:val="99"/>
    <w:unhideWhenUsed/>
    <w:rPr>
      <w:vertAlign w:val="superscript"/>
    </w:rPr>
  </w:style>
  <w:style w:type="paragraph" w:styleId="806">
    <w:name w:val="endnote text"/>
    <w:basedOn w:val="820"/>
    <w:link w:val="807"/>
    <w:uiPriority w:val="99"/>
    <w:semiHidden/>
    <w:unhideWhenUsed/>
    <w:pPr>
      <w:spacing w:after="0" w:line="240" w:lineRule="auto"/>
    </w:pPr>
    <w:rPr>
      <w:sz w:val="20"/>
    </w:rPr>
  </w:style>
  <w:style w:type="character" w:styleId="807">
    <w:name w:val="Endnote Text Char"/>
    <w:link w:val="806"/>
    <w:uiPriority w:val="99"/>
    <w:rPr>
      <w:sz w:val="20"/>
    </w:rPr>
  </w:style>
  <w:style w:type="character" w:styleId="808">
    <w:name w:val="endnote reference"/>
    <w:basedOn w:val="830"/>
    <w:uiPriority w:val="99"/>
    <w:semiHidden/>
    <w:unhideWhenUsed/>
    <w:rPr>
      <w:vertAlign w:val="superscript"/>
    </w:rPr>
  </w:style>
  <w:style w:type="paragraph" w:styleId="809">
    <w:name w:val="toc 1"/>
    <w:basedOn w:val="820"/>
    <w:next w:val="820"/>
    <w:uiPriority w:val="39"/>
    <w:unhideWhenUsed/>
    <w:pPr>
      <w:ind w:left="0" w:right="0" w:firstLine="0"/>
      <w:spacing w:after="57"/>
    </w:pPr>
  </w:style>
  <w:style w:type="paragraph" w:styleId="810">
    <w:name w:val="toc 2"/>
    <w:basedOn w:val="820"/>
    <w:next w:val="820"/>
    <w:uiPriority w:val="39"/>
    <w:unhideWhenUsed/>
    <w:pPr>
      <w:ind w:left="283" w:right="0" w:firstLine="0"/>
      <w:spacing w:after="57"/>
    </w:pPr>
  </w:style>
  <w:style w:type="paragraph" w:styleId="811">
    <w:name w:val="toc 3"/>
    <w:basedOn w:val="820"/>
    <w:next w:val="820"/>
    <w:uiPriority w:val="39"/>
    <w:unhideWhenUsed/>
    <w:pPr>
      <w:ind w:left="567" w:right="0" w:firstLine="0"/>
      <w:spacing w:after="57"/>
    </w:pPr>
  </w:style>
  <w:style w:type="paragraph" w:styleId="812">
    <w:name w:val="toc 4"/>
    <w:basedOn w:val="820"/>
    <w:next w:val="820"/>
    <w:uiPriority w:val="39"/>
    <w:unhideWhenUsed/>
    <w:pPr>
      <w:ind w:left="850" w:right="0" w:firstLine="0"/>
      <w:spacing w:after="57"/>
    </w:pPr>
  </w:style>
  <w:style w:type="paragraph" w:styleId="813">
    <w:name w:val="toc 5"/>
    <w:basedOn w:val="820"/>
    <w:next w:val="820"/>
    <w:uiPriority w:val="39"/>
    <w:unhideWhenUsed/>
    <w:pPr>
      <w:ind w:left="1134" w:right="0" w:firstLine="0"/>
      <w:spacing w:after="57"/>
    </w:pPr>
  </w:style>
  <w:style w:type="paragraph" w:styleId="814">
    <w:name w:val="toc 6"/>
    <w:basedOn w:val="820"/>
    <w:next w:val="820"/>
    <w:uiPriority w:val="39"/>
    <w:unhideWhenUsed/>
    <w:pPr>
      <w:ind w:left="1417" w:right="0" w:firstLine="0"/>
      <w:spacing w:after="57"/>
    </w:pPr>
  </w:style>
  <w:style w:type="paragraph" w:styleId="815">
    <w:name w:val="toc 7"/>
    <w:basedOn w:val="820"/>
    <w:next w:val="820"/>
    <w:uiPriority w:val="39"/>
    <w:unhideWhenUsed/>
    <w:pPr>
      <w:ind w:left="1701" w:right="0" w:firstLine="0"/>
      <w:spacing w:after="57"/>
    </w:pPr>
  </w:style>
  <w:style w:type="paragraph" w:styleId="816">
    <w:name w:val="toc 8"/>
    <w:basedOn w:val="820"/>
    <w:next w:val="820"/>
    <w:uiPriority w:val="39"/>
    <w:unhideWhenUsed/>
    <w:pPr>
      <w:ind w:left="1984" w:right="0" w:firstLine="0"/>
      <w:spacing w:after="57"/>
    </w:pPr>
  </w:style>
  <w:style w:type="paragraph" w:styleId="817">
    <w:name w:val="toc 9"/>
    <w:basedOn w:val="820"/>
    <w:next w:val="820"/>
    <w:uiPriority w:val="39"/>
    <w:unhideWhenUsed/>
    <w:pPr>
      <w:ind w:left="2268" w:right="0" w:firstLine="0"/>
      <w:spacing w:after="57"/>
    </w:pPr>
  </w:style>
  <w:style w:type="paragraph" w:styleId="818">
    <w:name w:val="TOC Heading"/>
    <w:uiPriority w:val="39"/>
    <w:unhideWhenUsed/>
  </w:style>
  <w:style w:type="paragraph" w:styleId="819">
    <w:name w:val="table of figures"/>
    <w:basedOn w:val="820"/>
    <w:next w:val="820"/>
    <w:uiPriority w:val="99"/>
    <w:unhideWhenUsed/>
    <w:pPr>
      <w:spacing w:after="0" w:afterAutospacing="0"/>
    </w:pPr>
  </w:style>
  <w:style w:type="paragraph" w:styleId="820" w:default="1">
    <w:name w:val="Normal"/>
    <w:qFormat/>
  </w:style>
  <w:style w:type="paragraph" w:styleId="821">
    <w:name w:val="Heading 1"/>
    <w:basedOn w:val="820"/>
    <w:next w:val="820"/>
    <w:link w:val="833"/>
    <w:uiPriority w:val="9"/>
    <w:qFormat/>
    <w:pPr>
      <w:keepLines/>
      <w:keepNext/>
      <w:spacing w:before="360" w:after="80"/>
      <w:outlineLvl w:val="0"/>
    </w:pPr>
    <w:rPr>
      <w:rFonts w:asciiTheme="majorHAnsi" w:hAnsiTheme="majorHAnsi" w:eastAsiaTheme="majorEastAsia" w:cstheme="majorBidi"/>
      <w:color w:val="2f5496" w:themeColor="accent1" w:themeShade="BF"/>
      <w:sz w:val="40"/>
      <w:szCs w:val="40"/>
    </w:rPr>
  </w:style>
  <w:style w:type="paragraph" w:styleId="822">
    <w:name w:val="Heading 2"/>
    <w:basedOn w:val="820"/>
    <w:next w:val="820"/>
    <w:link w:val="834"/>
    <w:uiPriority w:val="9"/>
    <w:semiHidden/>
    <w:unhideWhenUsed/>
    <w:qFormat/>
    <w:pPr>
      <w:keepLines/>
      <w:keepNext/>
      <w:spacing w:before="160" w:after="80"/>
      <w:outlineLvl w:val="1"/>
    </w:pPr>
    <w:rPr>
      <w:rFonts w:asciiTheme="majorHAnsi" w:hAnsiTheme="majorHAnsi" w:eastAsiaTheme="majorEastAsia" w:cstheme="majorBidi"/>
      <w:color w:val="2f5496" w:themeColor="accent1" w:themeShade="BF"/>
      <w:sz w:val="32"/>
      <w:szCs w:val="32"/>
    </w:rPr>
  </w:style>
  <w:style w:type="paragraph" w:styleId="823">
    <w:name w:val="Heading 3"/>
    <w:basedOn w:val="820"/>
    <w:next w:val="820"/>
    <w:link w:val="835"/>
    <w:uiPriority w:val="9"/>
    <w:semiHidden/>
    <w:unhideWhenUsed/>
    <w:qFormat/>
    <w:pPr>
      <w:keepLines/>
      <w:keepNext/>
      <w:spacing w:before="160" w:after="80"/>
      <w:outlineLvl w:val="2"/>
    </w:pPr>
    <w:rPr>
      <w:rFonts w:asciiTheme="minorHAnsi" w:hAnsiTheme="minorHAnsi" w:eastAsiaTheme="majorEastAsia" w:cstheme="majorBidi"/>
      <w:color w:val="2f5496" w:themeColor="accent1" w:themeShade="BF"/>
    </w:rPr>
  </w:style>
  <w:style w:type="paragraph" w:styleId="824">
    <w:name w:val="Heading 4"/>
    <w:basedOn w:val="820"/>
    <w:next w:val="820"/>
    <w:link w:val="836"/>
    <w:uiPriority w:val="9"/>
    <w:semiHidden/>
    <w:unhideWhenUsed/>
    <w:qFormat/>
    <w:pPr>
      <w:keepLines/>
      <w:keepNext/>
      <w:spacing w:before="80" w:after="40"/>
      <w:outlineLvl w:val="3"/>
    </w:pPr>
    <w:rPr>
      <w:rFonts w:asciiTheme="minorHAnsi" w:hAnsiTheme="minorHAnsi" w:eastAsiaTheme="majorEastAsia" w:cstheme="majorBidi"/>
      <w:i/>
      <w:iCs/>
      <w:color w:val="2f5496" w:themeColor="accent1" w:themeShade="BF"/>
    </w:rPr>
  </w:style>
  <w:style w:type="paragraph" w:styleId="825">
    <w:name w:val="Heading 5"/>
    <w:basedOn w:val="820"/>
    <w:next w:val="820"/>
    <w:link w:val="837"/>
    <w:uiPriority w:val="9"/>
    <w:semiHidden/>
    <w:unhideWhenUsed/>
    <w:qFormat/>
    <w:pPr>
      <w:keepLines/>
      <w:keepNext/>
      <w:spacing w:before="80" w:after="40"/>
      <w:outlineLvl w:val="4"/>
    </w:pPr>
    <w:rPr>
      <w:rFonts w:asciiTheme="minorHAnsi" w:hAnsiTheme="minorHAnsi" w:eastAsiaTheme="majorEastAsia" w:cstheme="majorBidi"/>
      <w:color w:val="2f5496" w:themeColor="accent1" w:themeShade="BF"/>
    </w:rPr>
  </w:style>
  <w:style w:type="paragraph" w:styleId="826">
    <w:name w:val="Heading 6"/>
    <w:basedOn w:val="820"/>
    <w:next w:val="820"/>
    <w:link w:val="838"/>
    <w:uiPriority w:val="9"/>
    <w:semiHidden/>
    <w:unhideWhenUsed/>
    <w:qFormat/>
    <w:pPr>
      <w:keepLines/>
      <w:keepNext/>
      <w:spacing w:before="40" w:after="0"/>
      <w:outlineLvl w:val="5"/>
    </w:pPr>
    <w:rPr>
      <w:rFonts w:asciiTheme="minorHAnsi" w:hAnsiTheme="minorHAnsi" w:eastAsiaTheme="majorEastAsia" w:cstheme="majorBidi"/>
      <w:i/>
      <w:iCs/>
      <w:color w:val="595959" w:themeColor="text1" w:themeTint="A6"/>
    </w:rPr>
  </w:style>
  <w:style w:type="paragraph" w:styleId="827">
    <w:name w:val="Heading 7"/>
    <w:basedOn w:val="820"/>
    <w:next w:val="820"/>
    <w:link w:val="839"/>
    <w:uiPriority w:val="9"/>
    <w:semiHidden/>
    <w:unhideWhenUsed/>
    <w:qFormat/>
    <w:pPr>
      <w:keepLines/>
      <w:keepNext/>
      <w:spacing w:before="40" w:after="0"/>
      <w:outlineLvl w:val="6"/>
    </w:pPr>
    <w:rPr>
      <w:rFonts w:asciiTheme="minorHAnsi" w:hAnsiTheme="minorHAnsi" w:eastAsiaTheme="majorEastAsia" w:cstheme="majorBidi"/>
      <w:color w:val="595959" w:themeColor="text1" w:themeTint="A6"/>
    </w:rPr>
  </w:style>
  <w:style w:type="paragraph" w:styleId="828">
    <w:name w:val="Heading 8"/>
    <w:basedOn w:val="820"/>
    <w:next w:val="820"/>
    <w:link w:val="840"/>
    <w:uiPriority w:val="9"/>
    <w:semiHidden/>
    <w:unhideWhenUsed/>
    <w:qFormat/>
    <w:pPr>
      <w:keepLines/>
      <w:keepNext/>
      <w:spacing w:after="0"/>
      <w:outlineLvl w:val="7"/>
    </w:pPr>
    <w:rPr>
      <w:rFonts w:asciiTheme="minorHAnsi" w:hAnsiTheme="minorHAnsi" w:eastAsiaTheme="majorEastAsia" w:cstheme="majorBidi"/>
      <w:i/>
      <w:iCs/>
      <w:color w:val="272727" w:themeColor="text1" w:themeTint="D8"/>
    </w:rPr>
  </w:style>
  <w:style w:type="paragraph" w:styleId="829">
    <w:name w:val="Heading 9"/>
    <w:basedOn w:val="820"/>
    <w:next w:val="820"/>
    <w:link w:val="841"/>
    <w:uiPriority w:val="9"/>
    <w:semiHidden/>
    <w:unhideWhenUsed/>
    <w:qFormat/>
    <w:pPr>
      <w:keepLines/>
      <w:keepNext/>
      <w:spacing w:after="0"/>
      <w:outlineLvl w:val="8"/>
    </w:pPr>
    <w:rPr>
      <w:rFonts w:asciiTheme="minorHAnsi" w:hAnsiTheme="minorHAnsi" w:eastAsiaTheme="majorEastAsia" w:cstheme="majorBidi"/>
      <w:color w:val="272727" w:themeColor="text1" w:themeTint="D8"/>
    </w:rPr>
  </w:style>
  <w:style w:type="character" w:styleId="830" w:default="1">
    <w:name w:val="Default Paragraph Font"/>
    <w:uiPriority w:val="1"/>
    <w:semiHidden/>
    <w:unhideWhenUsed/>
  </w:style>
  <w:style w:type="table" w:styleId="831" w:default="1">
    <w:name w:val="Normal Table"/>
    <w:uiPriority w:val="99"/>
    <w:semiHidden/>
    <w:unhideWhenUsed/>
    <w:tblPr>
      <w:tblInd w:w="0" w:type="dxa"/>
      <w:tblCellMar>
        <w:left w:w="108" w:type="dxa"/>
        <w:top w:w="0" w:type="dxa"/>
        <w:right w:w="108" w:type="dxa"/>
        <w:bottom w:w="0" w:type="dxa"/>
      </w:tblCellMar>
    </w:tblPr>
  </w:style>
  <w:style w:type="numbering" w:styleId="832" w:default="1">
    <w:name w:val="No List"/>
    <w:uiPriority w:val="99"/>
    <w:semiHidden/>
    <w:unhideWhenUsed/>
  </w:style>
  <w:style w:type="character" w:styleId="833" w:customStyle="1">
    <w:name w:val="Заголовок 1 Знак"/>
    <w:basedOn w:val="830"/>
    <w:link w:val="821"/>
    <w:uiPriority w:val="9"/>
    <w:rPr>
      <w:rFonts w:asciiTheme="majorHAnsi" w:hAnsiTheme="majorHAnsi" w:eastAsiaTheme="majorEastAsia" w:cstheme="majorBidi"/>
      <w:color w:val="2f5496" w:themeColor="accent1" w:themeShade="BF"/>
      <w:sz w:val="40"/>
      <w:szCs w:val="40"/>
    </w:rPr>
  </w:style>
  <w:style w:type="character" w:styleId="834" w:customStyle="1">
    <w:name w:val="Заголовок 2 Знак"/>
    <w:basedOn w:val="830"/>
    <w:link w:val="822"/>
    <w:uiPriority w:val="9"/>
    <w:semiHidden/>
    <w:rPr>
      <w:rFonts w:asciiTheme="majorHAnsi" w:hAnsiTheme="majorHAnsi" w:eastAsiaTheme="majorEastAsia" w:cstheme="majorBidi"/>
      <w:color w:val="2f5496" w:themeColor="accent1" w:themeShade="BF"/>
      <w:sz w:val="32"/>
      <w:szCs w:val="32"/>
    </w:rPr>
  </w:style>
  <w:style w:type="character" w:styleId="835" w:customStyle="1">
    <w:name w:val="Заголовок 3 Знак"/>
    <w:basedOn w:val="830"/>
    <w:link w:val="823"/>
    <w:uiPriority w:val="9"/>
    <w:semiHidden/>
    <w:rPr>
      <w:rFonts w:asciiTheme="minorHAnsi" w:hAnsiTheme="minorHAnsi" w:eastAsiaTheme="majorEastAsia" w:cstheme="majorBidi"/>
      <w:color w:val="2f5496" w:themeColor="accent1" w:themeShade="BF"/>
    </w:rPr>
  </w:style>
  <w:style w:type="character" w:styleId="836" w:customStyle="1">
    <w:name w:val="Заголовок 4 Знак"/>
    <w:basedOn w:val="830"/>
    <w:link w:val="824"/>
    <w:uiPriority w:val="9"/>
    <w:semiHidden/>
    <w:rPr>
      <w:rFonts w:asciiTheme="minorHAnsi" w:hAnsiTheme="minorHAnsi" w:eastAsiaTheme="majorEastAsia" w:cstheme="majorBidi"/>
      <w:i/>
      <w:iCs/>
      <w:color w:val="2f5496" w:themeColor="accent1" w:themeShade="BF"/>
    </w:rPr>
  </w:style>
  <w:style w:type="character" w:styleId="837" w:customStyle="1">
    <w:name w:val="Заголовок 5 Знак"/>
    <w:basedOn w:val="830"/>
    <w:link w:val="825"/>
    <w:uiPriority w:val="9"/>
    <w:semiHidden/>
    <w:rPr>
      <w:rFonts w:asciiTheme="minorHAnsi" w:hAnsiTheme="minorHAnsi" w:eastAsiaTheme="majorEastAsia" w:cstheme="majorBidi"/>
      <w:color w:val="2f5496" w:themeColor="accent1" w:themeShade="BF"/>
    </w:rPr>
  </w:style>
  <w:style w:type="character" w:styleId="838" w:customStyle="1">
    <w:name w:val="Заголовок 6 Знак"/>
    <w:basedOn w:val="830"/>
    <w:link w:val="826"/>
    <w:uiPriority w:val="9"/>
    <w:semiHidden/>
    <w:rPr>
      <w:rFonts w:asciiTheme="minorHAnsi" w:hAnsiTheme="minorHAnsi" w:eastAsiaTheme="majorEastAsia" w:cstheme="majorBidi"/>
      <w:i/>
      <w:iCs/>
      <w:color w:val="595959" w:themeColor="text1" w:themeTint="A6"/>
    </w:rPr>
  </w:style>
  <w:style w:type="character" w:styleId="839" w:customStyle="1">
    <w:name w:val="Заголовок 7 Знак"/>
    <w:basedOn w:val="830"/>
    <w:link w:val="827"/>
    <w:uiPriority w:val="9"/>
    <w:semiHidden/>
    <w:rPr>
      <w:rFonts w:asciiTheme="minorHAnsi" w:hAnsiTheme="minorHAnsi" w:eastAsiaTheme="majorEastAsia" w:cstheme="majorBidi"/>
      <w:color w:val="595959" w:themeColor="text1" w:themeTint="A6"/>
    </w:rPr>
  </w:style>
  <w:style w:type="character" w:styleId="840" w:customStyle="1">
    <w:name w:val="Заголовок 8 Знак"/>
    <w:basedOn w:val="830"/>
    <w:link w:val="828"/>
    <w:uiPriority w:val="9"/>
    <w:semiHidden/>
    <w:rPr>
      <w:rFonts w:asciiTheme="minorHAnsi" w:hAnsiTheme="minorHAnsi" w:eastAsiaTheme="majorEastAsia" w:cstheme="majorBidi"/>
      <w:i/>
      <w:iCs/>
      <w:color w:val="272727" w:themeColor="text1" w:themeTint="D8"/>
    </w:rPr>
  </w:style>
  <w:style w:type="character" w:styleId="841" w:customStyle="1">
    <w:name w:val="Заголовок 9 Знак"/>
    <w:basedOn w:val="830"/>
    <w:link w:val="829"/>
    <w:uiPriority w:val="9"/>
    <w:semiHidden/>
    <w:rPr>
      <w:rFonts w:asciiTheme="minorHAnsi" w:hAnsiTheme="minorHAnsi" w:eastAsiaTheme="majorEastAsia" w:cstheme="majorBidi"/>
      <w:color w:val="272727" w:themeColor="text1" w:themeTint="D8"/>
    </w:rPr>
  </w:style>
  <w:style w:type="paragraph" w:styleId="842">
    <w:name w:val="Title"/>
    <w:basedOn w:val="820"/>
    <w:next w:val="820"/>
    <w:link w:val="843"/>
    <w:uiPriority w:val="10"/>
    <w:qFormat/>
    <w:pPr>
      <w:contextualSpacing/>
      <w:spacing w:after="80" w:line="240" w:lineRule="auto"/>
    </w:pPr>
    <w:rPr>
      <w:rFonts w:asciiTheme="majorHAnsi" w:hAnsiTheme="majorHAnsi" w:eastAsiaTheme="majorEastAsia" w:cstheme="majorBidi"/>
      <w:spacing w:val="-10"/>
      <w:sz w:val="56"/>
      <w:szCs w:val="56"/>
    </w:rPr>
  </w:style>
  <w:style w:type="character" w:styleId="843" w:customStyle="1">
    <w:name w:val="Заголовок Знак"/>
    <w:basedOn w:val="830"/>
    <w:link w:val="842"/>
    <w:uiPriority w:val="10"/>
    <w:rPr>
      <w:rFonts w:asciiTheme="majorHAnsi" w:hAnsiTheme="majorHAnsi" w:eastAsiaTheme="majorEastAsia" w:cstheme="majorBidi"/>
      <w:spacing w:val="-10"/>
      <w:sz w:val="56"/>
      <w:szCs w:val="56"/>
    </w:rPr>
  </w:style>
  <w:style w:type="paragraph" w:styleId="844">
    <w:name w:val="Subtitle"/>
    <w:basedOn w:val="820"/>
    <w:next w:val="820"/>
    <w:link w:val="845"/>
    <w:uiPriority w:val="11"/>
    <w:qFormat/>
    <w:pPr>
      <w:numPr>
        <w:ilvl w:val="1"/>
      </w:numPr>
    </w:pPr>
    <w:rPr>
      <w:rFonts w:asciiTheme="minorHAnsi" w:hAnsiTheme="minorHAnsi" w:eastAsiaTheme="majorEastAsia" w:cstheme="majorBidi"/>
      <w:color w:val="595959" w:themeColor="text1" w:themeTint="A6"/>
      <w:spacing w:val="15"/>
    </w:rPr>
  </w:style>
  <w:style w:type="character" w:styleId="845" w:customStyle="1">
    <w:name w:val="Подзаголовок Знак"/>
    <w:basedOn w:val="830"/>
    <w:link w:val="844"/>
    <w:uiPriority w:val="11"/>
    <w:rPr>
      <w:rFonts w:asciiTheme="minorHAnsi" w:hAnsiTheme="minorHAnsi" w:eastAsiaTheme="majorEastAsia" w:cstheme="majorBidi"/>
      <w:color w:val="595959" w:themeColor="text1" w:themeTint="A6"/>
      <w:spacing w:val="15"/>
    </w:rPr>
  </w:style>
  <w:style w:type="paragraph" w:styleId="846">
    <w:name w:val="Quote"/>
    <w:basedOn w:val="820"/>
    <w:next w:val="820"/>
    <w:link w:val="847"/>
    <w:uiPriority w:val="29"/>
    <w:qFormat/>
    <w:pPr>
      <w:jc w:val="center"/>
      <w:spacing w:before="160"/>
    </w:pPr>
    <w:rPr>
      <w:i/>
      <w:iCs/>
      <w:color w:val="404040" w:themeColor="text1" w:themeTint="BF"/>
    </w:rPr>
  </w:style>
  <w:style w:type="character" w:styleId="847" w:customStyle="1">
    <w:name w:val="Цитата 2 Знак"/>
    <w:basedOn w:val="830"/>
    <w:link w:val="846"/>
    <w:uiPriority w:val="29"/>
    <w:rPr>
      <w:i/>
      <w:iCs/>
      <w:color w:val="404040" w:themeColor="text1" w:themeTint="BF"/>
    </w:rPr>
  </w:style>
  <w:style w:type="paragraph" w:styleId="848">
    <w:name w:val="List Paragraph"/>
    <w:basedOn w:val="820"/>
    <w:uiPriority w:val="34"/>
    <w:qFormat/>
    <w:pPr>
      <w:contextualSpacing/>
      <w:ind w:left="720"/>
    </w:pPr>
  </w:style>
  <w:style w:type="character" w:styleId="849">
    <w:name w:val="Intense Emphasis"/>
    <w:basedOn w:val="830"/>
    <w:uiPriority w:val="21"/>
    <w:qFormat/>
    <w:rPr>
      <w:i/>
      <w:iCs/>
      <w:color w:val="2f5496" w:themeColor="accent1" w:themeShade="BF"/>
    </w:rPr>
  </w:style>
  <w:style w:type="paragraph" w:styleId="850">
    <w:name w:val="Intense Quote"/>
    <w:basedOn w:val="820"/>
    <w:next w:val="820"/>
    <w:link w:val="851"/>
    <w:uiPriority w:val="30"/>
    <w:qFormat/>
    <w:pPr>
      <w:ind w:left="864" w:right="864"/>
      <w:jc w:val="center"/>
      <w:spacing w:before="360" w:after="360"/>
      <w:pBdr>
        <w:top w:val="single" w:color="2F5496" w:themeColor="accent1" w:themeShade="BF" w:sz="4" w:space="10"/>
        <w:bottom w:val="single" w:color="2F5496" w:themeColor="accent1" w:themeShade="BF" w:sz="4" w:space="10"/>
      </w:pBdr>
    </w:pPr>
    <w:rPr>
      <w:i/>
      <w:iCs/>
      <w:color w:val="2f5496" w:themeColor="accent1" w:themeShade="BF"/>
    </w:rPr>
  </w:style>
  <w:style w:type="character" w:styleId="851" w:customStyle="1">
    <w:name w:val="Выделенная цитата Знак"/>
    <w:basedOn w:val="830"/>
    <w:link w:val="850"/>
    <w:uiPriority w:val="30"/>
    <w:rPr>
      <w:i/>
      <w:iCs/>
      <w:color w:val="2f5496" w:themeColor="accent1" w:themeShade="BF"/>
    </w:rPr>
  </w:style>
  <w:style w:type="character" w:styleId="852">
    <w:name w:val="Intense Reference"/>
    <w:basedOn w:val="830"/>
    <w:uiPriority w:val="32"/>
    <w:qFormat/>
    <w:rPr>
      <w:b/>
      <w:bCs/>
      <w:smallCaps/>
      <w:color w:val="2f5496" w:themeColor="accent1" w:themeShade="BF"/>
      <w:spacing w:val="5"/>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2025-12-16T05:59:00Z</dcterms:created>
  <dcterms:modified xsi:type="dcterms:W3CDTF">2025-12-26T14:17:04Z</dcterms:modified>
</cp:coreProperties>
</file>